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7"/>
        <w:ind w:firstLine="0" w:firstLineChars="0"/>
        <w:jc w:val="center"/>
        <w:outlineLvl w:val="0"/>
        <w:rPr>
          <w:rFonts w:ascii="Times New Roman"/>
          <w:color w:val="0D0D0D"/>
          <w:sz w:val="36"/>
          <w:szCs w:val="36"/>
        </w:rPr>
      </w:pPr>
      <w:bookmarkStart w:id="0" w:name="_Toc401927297"/>
      <w:r>
        <w:rPr>
          <w:rFonts w:ascii="Times New Roman"/>
          <w:color w:val="0D0D0D"/>
          <w:sz w:val="36"/>
          <w:szCs w:val="36"/>
        </w:rPr>
        <w:t>2017年国家科学技术进步奖</w:t>
      </w:r>
      <w:bookmarkEnd w:id="0"/>
      <w:r>
        <w:rPr>
          <w:rFonts w:ascii="Times New Roman"/>
          <w:color w:val="0D0D0D"/>
          <w:sz w:val="36"/>
          <w:szCs w:val="36"/>
        </w:rPr>
        <w:t>推荐</w:t>
      </w:r>
      <w:r>
        <w:rPr>
          <w:rFonts w:hint="eastAsia" w:ascii="Times New Roman"/>
          <w:color w:val="0D0D0D"/>
          <w:sz w:val="36"/>
          <w:szCs w:val="36"/>
        </w:rPr>
        <w:t>项目</w:t>
      </w:r>
      <w:r>
        <w:rPr>
          <w:rFonts w:ascii="Times New Roman"/>
          <w:color w:val="0D0D0D"/>
          <w:sz w:val="36"/>
          <w:szCs w:val="36"/>
        </w:rPr>
        <w:t>公示</w:t>
      </w:r>
    </w:p>
    <w:p>
      <w:pPr>
        <w:spacing w:line="360" w:lineRule="auto"/>
        <w:rPr>
          <w:b/>
          <w:sz w:val="24"/>
          <w:szCs w:val="24"/>
        </w:rPr>
      </w:pPr>
    </w:p>
    <w:p>
      <w:pPr>
        <w:spacing w:line="360" w:lineRule="auto"/>
        <w:ind w:firstLine="482" w:firstLineChars="200"/>
        <w:rPr>
          <w:b/>
          <w:sz w:val="24"/>
          <w:szCs w:val="24"/>
        </w:rPr>
      </w:pPr>
      <w:r>
        <w:rPr>
          <w:rFonts w:hint="eastAsia"/>
          <w:b/>
          <w:sz w:val="24"/>
          <w:szCs w:val="24"/>
        </w:rPr>
        <w:t>一、</w:t>
      </w:r>
      <w:r>
        <w:rPr>
          <w:b/>
          <w:sz w:val="24"/>
          <w:szCs w:val="24"/>
        </w:rPr>
        <w:t>项目名称：</w:t>
      </w:r>
      <w:r>
        <w:rPr>
          <w:b/>
          <w:bCs/>
          <w:sz w:val="24"/>
          <w:szCs w:val="24"/>
        </w:rPr>
        <w:t>公路网安全保障技术与装备</w:t>
      </w:r>
    </w:p>
    <w:p>
      <w:pPr>
        <w:spacing w:line="360" w:lineRule="auto"/>
        <w:ind w:firstLine="482" w:firstLineChars="200"/>
        <w:outlineLvl w:val="0"/>
        <w:rPr>
          <w:b/>
          <w:sz w:val="24"/>
          <w:szCs w:val="24"/>
        </w:rPr>
      </w:pPr>
      <w:r>
        <w:rPr>
          <w:rFonts w:hint="eastAsia"/>
          <w:b/>
          <w:sz w:val="24"/>
          <w:szCs w:val="24"/>
        </w:rPr>
        <w:t>二、</w:t>
      </w:r>
      <w:r>
        <w:rPr>
          <w:b/>
          <w:sz w:val="24"/>
          <w:szCs w:val="24"/>
        </w:rPr>
        <w:t>推荐单位意见</w:t>
      </w:r>
    </w:p>
    <w:p>
      <w:pPr>
        <w:spacing w:line="360" w:lineRule="auto"/>
        <w:ind w:firstLine="480" w:firstLineChars="200"/>
        <w:rPr>
          <w:rFonts w:eastAsiaTheme="minorEastAsia"/>
          <w:sz w:val="24"/>
        </w:rPr>
      </w:pPr>
      <w:r>
        <w:rPr>
          <w:rFonts w:eastAsiaTheme="minorEastAsia"/>
          <w:sz w:val="24"/>
        </w:rPr>
        <w:t>该项目依托国家及我部多项课题支撑，按我部中长期科技发展规划纲要关于“保障安全和大力开发应用交通安全技术”的要求，项目经10余年持续攻关，创立了基于汽车行驶规律与人因工程的安全评价理论与安全设施设计方法，攻克了公路网运营安全风险评估、预警和保障关键技术，开发了具有自主知识产权的新型公路安全设施及关键试验检测设备。系统解决了路网安全信息全要素快速采集、事故多发点自动辨识、公路线形</w:t>
      </w:r>
      <w:bookmarkStart w:id="1" w:name="_GoBack"/>
      <w:bookmarkEnd w:id="1"/>
      <w:r>
        <w:rPr>
          <w:rFonts w:eastAsiaTheme="minorEastAsia"/>
          <w:sz w:val="24"/>
        </w:rPr>
        <w:t>指标均衡性、安全设施有效性以及恶劣天气下运营安全保障等一系列重大技术难题。形成了适合我国公路网特征的安全评价、安全设施设计与运营管理决策的综合保障技术、装备与标准规范体系，为我国公路建设大发展时期400万公里公路网的建设与升级改造提供了技术支撑。</w:t>
      </w:r>
    </w:p>
    <w:p>
      <w:pPr>
        <w:spacing w:line="360" w:lineRule="auto"/>
        <w:ind w:firstLine="480" w:firstLineChars="200"/>
        <w:rPr>
          <w:rFonts w:eastAsiaTheme="minorEastAsia"/>
          <w:sz w:val="24"/>
        </w:rPr>
      </w:pPr>
      <w:r>
        <w:rPr>
          <w:rFonts w:eastAsiaTheme="minorEastAsia"/>
          <w:sz w:val="24"/>
        </w:rPr>
        <w:t>成果获发明专利17项，出版专著23部，发表SCI/EI检索论文40篇，形成标准规范18部，获中国公路学会科学</w:t>
      </w:r>
      <w:r>
        <w:rPr>
          <w:rFonts w:hint="eastAsia" w:eastAsiaTheme="minorEastAsia"/>
          <w:sz w:val="24"/>
        </w:rPr>
        <w:t>技术</w:t>
      </w:r>
      <w:r>
        <w:rPr>
          <w:rFonts w:eastAsiaTheme="minorEastAsia"/>
          <w:sz w:val="24"/>
        </w:rPr>
        <w:t>一等奖7项。</w:t>
      </w:r>
      <w:r>
        <w:rPr>
          <w:rFonts w:hint="eastAsia" w:eastAsiaTheme="minorEastAsia"/>
          <w:sz w:val="24"/>
        </w:rPr>
        <w:t>成果指导了全国8万多公里高速公路的安全性评价，</w:t>
      </w:r>
      <w:r>
        <w:rPr>
          <w:rFonts w:eastAsiaTheme="minorEastAsia"/>
          <w:sz w:val="24"/>
        </w:rPr>
        <w:t>支撑了2004年以来全国公路安全保障工程实施</w:t>
      </w:r>
      <w:r>
        <w:rPr>
          <w:rFonts w:hint="eastAsia" w:eastAsiaTheme="minorEastAsia"/>
          <w:sz w:val="24"/>
        </w:rPr>
        <w:t>和</w:t>
      </w:r>
      <w:r>
        <w:rPr>
          <w:rFonts w:eastAsiaTheme="minorEastAsia"/>
          <w:sz w:val="24"/>
        </w:rPr>
        <w:t>2014年以来全国公路安全生命防护工程11万公里的隐患排查，指导了6万多公里国家高速公路网交通标志的改造。</w:t>
      </w:r>
    </w:p>
    <w:p>
      <w:pPr>
        <w:spacing w:line="360" w:lineRule="auto"/>
        <w:ind w:firstLine="480" w:firstLineChars="200"/>
        <w:rPr>
          <w:rFonts w:eastAsiaTheme="minorEastAsia"/>
          <w:sz w:val="24"/>
        </w:rPr>
      </w:pPr>
      <w:r>
        <w:rPr>
          <w:rFonts w:eastAsiaTheme="minorEastAsia"/>
          <w:sz w:val="24"/>
        </w:rPr>
        <w:t>推荐该项目为国家科学技术进步奖一等奖。</w:t>
      </w:r>
    </w:p>
    <w:p>
      <w:pPr>
        <w:spacing w:line="360" w:lineRule="auto"/>
        <w:ind w:firstLine="482" w:firstLineChars="200"/>
        <w:outlineLvl w:val="0"/>
        <w:rPr>
          <w:b/>
          <w:sz w:val="24"/>
          <w:szCs w:val="24"/>
        </w:rPr>
      </w:pPr>
      <w:r>
        <w:rPr>
          <w:b/>
          <w:sz w:val="24"/>
          <w:szCs w:val="24"/>
        </w:rPr>
        <w:t>三</w:t>
      </w:r>
      <w:r>
        <w:rPr>
          <w:rFonts w:hint="eastAsia"/>
          <w:b/>
          <w:sz w:val="24"/>
          <w:szCs w:val="24"/>
        </w:rPr>
        <w:t>、</w:t>
      </w:r>
      <w:r>
        <w:rPr>
          <w:b/>
          <w:sz w:val="24"/>
          <w:szCs w:val="24"/>
        </w:rPr>
        <w:t>项目简介</w:t>
      </w:r>
    </w:p>
    <w:p>
      <w:pPr>
        <w:spacing w:line="360" w:lineRule="auto"/>
        <w:ind w:firstLine="480" w:firstLineChars="200"/>
        <w:rPr>
          <w:rFonts w:eastAsiaTheme="minorEastAsia"/>
          <w:sz w:val="24"/>
        </w:rPr>
      </w:pPr>
      <w:r>
        <w:rPr>
          <w:rFonts w:eastAsiaTheme="minorEastAsia"/>
          <w:sz w:val="24"/>
        </w:rPr>
        <w:t>本项目依托国家科技支撑计划等多个项目，组织产学研用5家单位280余人经10余年联合攻关，调研里程近10万公里，采集路线几何特征、交通特性、心生理指标、路侧环境和事故等样本近98万个，系统解决了路网安全信息全要素快速采集、事故多发点自动辨识、公路线形指标均衡性、安全设施有效性以及恶劣天气下运营安全保障等一系列重大技术难题。形成了适合我国公路网特征的安全评价、安全设施设计与运营管理决策的综合保障技术、装备与标准规范体系，支撑了我国435.6万公里的路网安全运营保障，实现了我国与欧美发达国家公路安全保障技术之间20年差距的跨越。取得主要科技创新如下：</w:t>
      </w:r>
    </w:p>
    <w:p>
      <w:pPr>
        <w:spacing w:line="360" w:lineRule="auto"/>
        <w:ind w:firstLine="482" w:firstLineChars="200"/>
        <w:rPr>
          <w:rFonts w:eastAsiaTheme="minorEastAsia"/>
          <w:sz w:val="24"/>
        </w:rPr>
      </w:pPr>
      <w:r>
        <w:rPr>
          <w:rFonts w:eastAsiaTheme="minorEastAsia"/>
          <w:b/>
          <w:sz w:val="24"/>
        </w:rPr>
        <w:t>（1）创立了基于汽车行驶规律与人因工程的安全评价理论与安全设施设计方法。</w:t>
      </w:r>
      <w:r>
        <w:rPr>
          <w:rFonts w:eastAsiaTheme="minorEastAsia"/>
          <w:sz w:val="24"/>
        </w:rPr>
        <w:t>构建了我国公路运行速度系列计算模型和驾驶工作负荷度模型，提出了基于运行速度和驾驶工作负荷度双指标控制的路线安全评价方法，与国外相比预测偏差由20%降到10%；创立了基于车辆碰撞能量谱的护栏可靠性设计方法，攻克了我国车辆-护栏碰撞精细化仿真模拟技术，计算精度达到90％；创立了基于人机效率的交通标志信息分层与路网寻址最优的指路标志立体设置方法。成果替代了原有的设计方法体系，形成了8部设计与评价领域的国家和行业标准规范，实现了我国公路安全设施设计与安全评价水平向国际前沿的赶超。</w:t>
      </w:r>
    </w:p>
    <w:p>
      <w:pPr>
        <w:spacing w:line="360" w:lineRule="auto"/>
        <w:ind w:firstLine="482" w:firstLineChars="200"/>
        <w:rPr>
          <w:rFonts w:eastAsiaTheme="minorEastAsia"/>
          <w:sz w:val="24"/>
        </w:rPr>
      </w:pPr>
      <w:r>
        <w:rPr>
          <w:rFonts w:eastAsiaTheme="minorEastAsia"/>
          <w:b/>
          <w:sz w:val="24"/>
        </w:rPr>
        <w:t>（2）攻克了公路网运营安全风险评估、预警和保障关键技术。</w:t>
      </w:r>
      <w:r>
        <w:rPr>
          <w:rFonts w:eastAsiaTheme="minorEastAsia"/>
          <w:sz w:val="24"/>
        </w:rPr>
        <w:t>提出了不同等级公路高风险路段多指标甄别方法与评定标准，使甄别准确率达到了90%，建立了基于多源实时数据的短时交通安全态势推演模型，突破了运营安全风险评估从定性到定量、从静态到动态、从路段到路网的技术瓶颈；攻克了路面浓雾与结冰短临预警及风险管控技术，解决了不良天气条件下的主动防控难题；创新性地研发了基于人眼视觉感知的光、色双元隧道照明控制技术，推动了我国公路网风险评估及安全保障技术对发达国家的整体超越。</w:t>
      </w:r>
    </w:p>
    <w:p>
      <w:pPr>
        <w:spacing w:line="360" w:lineRule="auto"/>
        <w:ind w:firstLine="482" w:firstLineChars="200"/>
        <w:rPr>
          <w:rFonts w:eastAsiaTheme="minorEastAsia"/>
          <w:sz w:val="24"/>
        </w:rPr>
      </w:pPr>
      <w:r>
        <w:rPr>
          <w:rFonts w:eastAsiaTheme="minorEastAsia"/>
          <w:b/>
          <w:sz w:val="24"/>
        </w:rPr>
        <w:t>（3）开发了具有自主知识产权的新型公路安全设施及关键试验检测设备。</w:t>
      </w:r>
      <w:r>
        <w:rPr>
          <w:rFonts w:eastAsiaTheme="minorEastAsia"/>
          <w:sz w:val="24"/>
        </w:rPr>
        <w:t>研发了新型安全防护设施，解决了公路护栏体系无缝化防护的难题；研制了世界第一台护栏立柱埋深无损检测设备，空置和埋入立柱无损检测误差分别在±2cm和±8cm以内，领先于日本4年后误差±3cm和±10cm的技术水平；创新性地研制了低能见度条件下智能诱导设备，提高了风险主动防控和应急保通能力；开发了抗滑反光彩色路面铺装材料、高亮广角雨夜反光立面标记涂料，突破了上述材料雨夜高亮反光的技术瓶颈。</w:t>
      </w:r>
    </w:p>
    <w:p>
      <w:pPr>
        <w:spacing w:line="360" w:lineRule="auto"/>
        <w:ind w:firstLine="480" w:firstLineChars="200"/>
        <w:rPr>
          <w:rFonts w:eastAsiaTheme="minorEastAsia"/>
          <w:sz w:val="24"/>
        </w:rPr>
      </w:pPr>
      <w:r>
        <w:rPr>
          <w:rFonts w:eastAsiaTheme="minorEastAsia"/>
          <w:sz w:val="24"/>
        </w:rPr>
        <w:t>成果获发明专利17项，出版专著23部，发表SCI/EI检索论文40篇，形成标准规范18部、纳入20余部；获国际道路联合会（IRF）“欧洲道路安全奖”1项、国际道路评估组织（IRAP）“亚太区杰出贡献奖”1项、中国公路学会科学</w:t>
      </w:r>
      <w:r>
        <w:rPr>
          <w:rFonts w:hint="eastAsia" w:eastAsiaTheme="minorEastAsia"/>
          <w:sz w:val="24"/>
        </w:rPr>
        <w:t>技术</w:t>
      </w:r>
      <w:r>
        <w:rPr>
          <w:rFonts w:eastAsiaTheme="minorEastAsia"/>
          <w:sz w:val="24"/>
        </w:rPr>
        <w:t>一等奖7项、中国专利优秀奖1项，3名骨干成为世界道路协会委员。成果</w:t>
      </w:r>
      <w:r>
        <w:rPr>
          <w:rFonts w:hint="eastAsia" w:eastAsiaTheme="minorEastAsia"/>
          <w:sz w:val="24"/>
        </w:rPr>
        <w:t>指导了全国8万多公里高速公路的安全性评价，</w:t>
      </w:r>
      <w:r>
        <w:rPr>
          <w:rFonts w:eastAsiaTheme="minorEastAsia"/>
          <w:sz w:val="24"/>
        </w:rPr>
        <w:t>支撑了2004年以来</w:t>
      </w:r>
      <w:r>
        <w:rPr>
          <w:rFonts w:hint="eastAsia" w:eastAsiaTheme="minorEastAsia"/>
          <w:sz w:val="24"/>
        </w:rPr>
        <w:t>全国42万处、13万公里国省干线</w:t>
      </w:r>
      <w:r>
        <w:rPr>
          <w:rFonts w:eastAsiaTheme="minorEastAsia"/>
          <w:sz w:val="24"/>
        </w:rPr>
        <w:t>安全保障工程实施</w:t>
      </w:r>
      <w:r>
        <w:rPr>
          <w:rFonts w:hint="eastAsia" w:eastAsiaTheme="minorEastAsia"/>
          <w:sz w:val="24"/>
        </w:rPr>
        <w:t>，以及</w:t>
      </w:r>
      <w:r>
        <w:rPr>
          <w:rFonts w:eastAsiaTheme="minorEastAsia"/>
          <w:sz w:val="24"/>
        </w:rPr>
        <w:t>2014年以来全国公路安全生命防护工程11万公里的隐患排查，指导了6万多公里国家高速公路网交通标志的改造，为遏制重特大交通事故的发生做出了重大贡献。</w:t>
      </w:r>
    </w:p>
    <w:p>
      <w:pPr>
        <w:spacing w:line="360" w:lineRule="auto"/>
        <w:ind w:firstLine="482" w:firstLineChars="200"/>
        <w:outlineLvl w:val="0"/>
        <w:rPr>
          <w:b/>
          <w:sz w:val="24"/>
          <w:szCs w:val="24"/>
        </w:rPr>
      </w:pPr>
      <w:r>
        <w:rPr>
          <w:b/>
          <w:sz w:val="24"/>
          <w:szCs w:val="24"/>
        </w:rPr>
        <w:t>四</w:t>
      </w:r>
      <w:r>
        <w:rPr>
          <w:rFonts w:hint="eastAsia"/>
          <w:b/>
          <w:sz w:val="24"/>
          <w:szCs w:val="24"/>
        </w:rPr>
        <w:t>、</w:t>
      </w:r>
      <w:r>
        <w:rPr>
          <w:b/>
          <w:sz w:val="24"/>
          <w:szCs w:val="24"/>
        </w:rPr>
        <w:t>客观评价</w:t>
      </w:r>
    </w:p>
    <w:p>
      <w:pPr>
        <w:pStyle w:val="11"/>
        <w:rPr>
          <w:rFonts w:ascii="Times New Roman"/>
          <w:szCs w:val="24"/>
        </w:rPr>
      </w:pPr>
      <w:r>
        <w:rPr>
          <w:rFonts w:ascii="Times New Roman"/>
          <w:szCs w:val="24"/>
        </w:rPr>
        <w:t>近10余年来，研究成果有力地支撑了我国公路交通安全保障水平的提升，得到了国内外同行高度评价。</w:t>
      </w:r>
    </w:p>
    <w:p>
      <w:pPr>
        <w:pStyle w:val="11"/>
        <w:ind w:firstLine="482"/>
        <w:outlineLvl w:val="2"/>
        <w:rPr>
          <w:rFonts w:ascii="Times New Roman"/>
          <w:b/>
          <w:szCs w:val="24"/>
        </w:rPr>
      </w:pPr>
      <w:r>
        <w:rPr>
          <w:rFonts w:ascii="Times New Roman"/>
          <w:b/>
          <w:szCs w:val="24"/>
        </w:rPr>
        <w:t>1、国际评价</w:t>
      </w:r>
    </w:p>
    <w:p>
      <w:pPr>
        <w:pStyle w:val="11"/>
        <w:rPr>
          <w:rFonts w:ascii="Times New Roman"/>
          <w:szCs w:val="24"/>
        </w:rPr>
      </w:pPr>
      <w:r>
        <w:rPr>
          <w:rFonts w:ascii="Times New Roman"/>
          <w:szCs w:val="24"/>
        </w:rPr>
        <w:t>（1）项目获得国际道路联合会（IRF）2006年度欧洲道路安全奖，该奖项对本项目的评价如下：Awarded to recognize the integrated road safety program/project which ranked best against the following criteria (in order of priority) in the world：</w:t>
      </w:r>
    </w:p>
    <w:p>
      <w:pPr>
        <w:pStyle w:val="11"/>
        <w:numPr>
          <w:ilvl w:val="0"/>
          <w:numId w:val="1"/>
        </w:numPr>
        <w:ind w:firstLineChars="0"/>
        <w:rPr>
          <w:rFonts w:ascii="Times New Roman"/>
          <w:szCs w:val="24"/>
        </w:rPr>
      </w:pPr>
      <w:r>
        <w:rPr>
          <w:rFonts w:ascii="Times New Roman"/>
          <w:szCs w:val="24"/>
        </w:rPr>
        <w:t>Innovation in technology development and application；</w:t>
      </w:r>
    </w:p>
    <w:p>
      <w:pPr>
        <w:pStyle w:val="11"/>
        <w:numPr>
          <w:ilvl w:val="0"/>
          <w:numId w:val="1"/>
        </w:numPr>
        <w:ind w:firstLineChars="0"/>
        <w:rPr>
          <w:rFonts w:ascii="Times New Roman"/>
          <w:szCs w:val="24"/>
        </w:rPr>
      </w:pPr>
      <w:r>
        <w:rPr>
          <w:rFonts w:ascii="Times New Roman"/>
          <w:szCs w:val="24"/>
        </w:rPr>
        <w:t>Outstanding contribution to road safety；</w:t>
      </w:r>
    </w:p>
    <w:p>
      <w:pPr>
        <w:pStyle w:val="11"/>
        <w:numPr>
          <w:ilvl w:val="0"/>
          <w:numId w:val="1"/>
        </w:numPr>
        <w:ind w:firstLineChars="0"/>
        <w:rPr>
          <w:rFonts w:ascii="Times New Roman"/>
          <w:szCs w:val="24"/>
        </w:rPr>
      </w:pPr>
      <w:r>
        <w:rPr>
          <w:rFonts w:ascii="Times New Roman"/>
          <w:szCs w:val="24"/>
        </w:rPr>
        <w:t>Best practice to be adapted in developing countries。</w:t>
      </w:r>
    </w:p>
    <w:p>
      <w:pPr>
        <w:pStyle w:val="11"/>
        <w:rPr>
          <w:rFonts w:ascii="Times New Roman"/>
          <w:szCs w:val="24"/>
        </w:rPr>
      </w:pPr>
      <w:r>
        <w:rPr>
          <w:rFonts w:ascii="Times New Roman"/>
          <w:szCs w:val="24"/>
        </w:rPr>
        <w:t>本奖项授予依据以下标准（按优先顺序排列）在全球范围内所遴选出的最佳完整性道路安全项目。</w:t>
      </w:r>
    </w:p>
    <w:p>
      <w:pPr>
        <w:pStyle w:val="11"/>
        <w:numPr>
          <w:ilvl w:val="0"/>
          <w:numId w:val="1"/>
        </w:numPr>
        <w:ind w:firstLineChars="0"/>
        <w:rPr>
          <w:rFonts w:ascii="Times New Roman"/>
          <w:szCs w:val="24"/>
        </w:rPr>
      </w:pPr>
      <w:r>
        <w:rPr>
          <w:rFonts w:ascii="Times New Roman"/>
          <w:szCs w:val="24"/>
        </w:rPr>
        <w:t>创新技术开发与应用</w:t>
      </w:r>
    </w:p>
    <w:p>
      <w:pPr>
        <w:pStyle w:val="11"/>
        <w:numPr>
          <w:ilvl w:val="0"/>
          <w:numId w:val="1"/>
        </w:numPr>
        <w:ind w:firstLineChars="0"/>
        <w:rPr>
          <w:rFonts w:ascii="Times New Roman"/>
          <w:szCs w:val="24"/>
        </w:rPr>
      </w:pPr>
      <w:r>
        <w:rPr>
          <w:rFonts w:ascii="Times New Roman"/>
          <w:szCs w:val="24"/>
        </w:rPr>
        <w:t>对道路交通安全贡献突出</w:t>
      </w:r>
    </w:p>
    <w:p>
      <w:pPr>
        <w:pStyle w:val="11"/>
        <w:numPr>
          <w:ilvl w:val="0"/>
          <w:numId w:val="1"/>
        </w:numPr>
        <w:ind w:firstLineChars="0"/>
        <w:rPr>
          <w:rFonts w:ascii="Times New Roman"/>
          <w:szCs w:val="24"/>
        </w:rPr>
      </w:pPr>
      <w:r>
        <w:rPr>
          <w:rFonts w:ascii="Times New Roman"/>
          <w:szCs w:val="24"/>
        </w:rPr>
        <w:t>可供发展中国家借鉴的典范</w:t>
      </w:r>
    </w:p>
    <w:p>
      <w:pPr>
        <w:pStyle w:val="11"/>
        <w:rPr>
          <w:rFonts w:ascii="Times New Roman"/>
          <w:szCs w:val="24"/>
        </w:rPr>
      </w:pPr>
      <w:r>
        <w:rPr>
          <w:rFonts w:ascii="Times New Roman"/>
          <w:szCs w:val="24"/>
        </w:rPr>
        <w:t>（2）项目成果获国际道路风险评估组织（IRAP）认可，中国路网风险评估系统（ChinaRAP）研究项目获得2013年亚太区杰出贡献奖，该奖项对本项目的评价如下：For its outstanding commitment to road safety and development of China Road Assessment Program (ChinaRAP)</w:t>
      </w:r>
      <w:r>
        <w:rPr>
          <w:rFonts w:hint="eastAsia" w:ascii="Times New Roman"/>
          <w:szCs w:val="24"/>
        </w:rPr>
        <w:t>。</w:t>
      </w:r>
    </w:p>
    <w:p>
      <w:pPr>
        <w:pStyle w:val="11"/>
        <w:ind w:firstLine="482"/>
        <w:outlineLvl w:val="2"/>
        <w:rPr>
          <w:rFonts w:ascii="Times New Roman"/>
          <w:b/>
          <w:szCs w:val="24"/>
        </w:rPr>
      </w:pPr>
      <w:r>
        <w:rPr>
          <w:rFonts w:ascii="Times New Roman"/>
          <w:b/>
          <w:szCs w:val="24"/>
        </w:rPr>
        <w:t>2、鉴定意见与国内行业评价</w:t>
      </w:r>
    </w:p>
    <w:p>
      <w:pPr>
        <w:pStyle w:val="11"/>
        <w:rPr>
          <w:rFonts w:ascii="Times New Roman"/>
          <w:szCs w:val="24"/>
        </w:rPr>
      </w:pPr>
      <w:r>
        <w:rPr>
          <w:rFonts w:ascii="Times New Roman"/>
          <w:szCs w:val="24"/>
        </w:rPr>
        <w:t>经交通运输部科技司组织鉴定，项目研究成果总体上达到国际领先水平，获得中国公路学会科学技术一等奖7项。</w:t>
      </w:r>
    </w:p>
    <w:p>
      <w:pPr>
        <w:pStyle w:val="11"/>
        <w:rPr>
          <w:rFonts w:ascii="Times New Roman"/>
          <w:szCs w:val="24"/>
        </w:rPr>
      </w:pPr>
      <w:r>
        <w:rPr>
          <w:rFonts w:ascii="Times New Roman"/>
          <w:szCs w:val="24"/>
        </w:rPr>
        <w:t>（1）提出了适用于我国山区公路网交通安全水平量化评价的山区公路风险评估模型，研发了信息采集系统装备与软件。构建了以路网风险评估为主要支撑的山区公路网交通安全保障技术体系，开创了安全保障技术应用新模式。</w:t>
      </w:r>
    </w:p>
    <w:p>
      <w:pPr>
        <w:pStyle w:val="11"/>
        <w:rPr>
          <w:rFonts w:ascii="Times New Roman"/>
          <w:szCs w:val="24"/>
        </w:rPr>
      </w:pPr>
      <w:r>
        <w:rPr>
          <w:rFonts w:ascii="Times New Roman"/>
          <w:szCs w:val="24"/>
        </w:rPr>
        <w:t>（2）首次提出基于车辆轴距与比功率的运行速度标准车型，建立了双车道公路竖曲线运行速度模型和路侧干扰系数模型、出入口当量化的一级公路运行速度模型和高速公路互通立交及隧道路段的运行速度模型。</w:t>
      </w:r>
    </w:p>
    <w:p>
      <w:pPr>
        <w:pStyle w:val="11"/>
        <w:rPr>
          <w:rFonts w:ascii="Times New Roman"/>
          <w:szCs w:val="24"/>
        </w:rPr>
      </w:pPr>
      <w:r>
        <w:rPr>
          <w:rFonts w:ascii="Times New Roman"/>
          <w:szCs w:val="24"/>
        </w:rPr>
        <w:t>（3）提出了从驾驶人角度对道路环境进行安全性评价的交通安全分析技术与方法。</w:t>
      </w:r>
    </w:p>
    <w:p>
      <w:pPr>
        <w:pStyle w:val="11"/>
        <w:rPr>
          <w:rFonts w:ascii="Times New Roman"/>
          <w:szCs w:val="24"/>
        </w:rPr>
      </w:pPr>
      <w:r>
        <w:rPr>
          <w:rFonts w:ascii="Times New Roman"/>
          <w:szCs w:val="24"/>
        </w:rPr>
        <w:t>（4）提出适合我国公路交通特点、驾驶特性和驾驶心生理反应的公路运行速度设计技术与流程。</w:t>
      </w:r>
    </w:p>
    <w:p>
      <w:pPr>
        <w:pStyle w:val="11"/>
        <w:rPr>
          <w:rFonts w:ascii="Times New Roman"/>
          <w:szCs w:val="24"/>
        </w:rPr>
      </w:pPr>
      <w:r>
        <w:rPr>
          <w:rFonts w:ascii="Times New Roman"/>
          <w:szCs w:val="24"/>
        </w:rPr>
        <w:t>（5）提出驾驶工作负荷测算模型和基于驾驶工作负荷度的路线安全性评价标准，基于空间曲率综合指标的高速公路和一级公路路线安全性评价指标，基于事故率预测模型的双车道路线安全性评价指标，进而提出安全性评价指标、标准体系。</w:t>
      </w:r>
    </w:p>
    <w:p>
      <w:pPr>
        <w:pStyle w:val="11"/>
        <w:rPr>
          <w:rFonts w:ascii="Times New Roman"/>
          <w:szCs w:val="24"/>
        </w:rPr>
      </w:pPr>
      <w:r>
        <w:rPr>
          <w:rFonts w:ascii="Times New Roman"/>
          <w:szCs w:val="24"/>
        </w:rPr>
        <w:t>（6）提出了恶劣气象条件下的高速公路网影响评价、交通气象预测预警、交通诱导与协同控制，以及应急状态下的事件识别与诊断、交通态势评估和应急资源动态调配等技术，构建了区域公路网交通气象预报预警平台。</w:t>
      </w:r>
    </w:p>
    <w:p>
      <w:pPr>
        <w:pStyle w:val="11"/>
        <w:rPr>
          <w:rFonts w:ascii="Times New Roman"/>
          <w:szCs w:val="24"/>
        </w:rPr>
      </w:pPr>
      <w:r>
        <w:rPr>
          <w:rFonts w:ascii="Times New Roman"/>
          <w:szCs w:val="24"/>
        </w:rPr>
        <w:t>（7）开发了9种新型高性价比的公路交通安全防护设施，验证了15种在用防护设施的安全性，建立了适应我国山区公路特点的安全防护设施体系。</w:t>
      </w:r>
    </w:p>
    <w:p>
      <w:pPr>
        <w:pStyle w:val="11"/>
        <w:rPr>
          <w:rFonts w:ascii="Times New Roman"/>
          <w:szCs w:val="24"/>
        </w:rPr>
      </w:pPr>
      <w:r>
        <w:rPr>
          <w:rFonts w:ascii="Times New Roman"/>
          <w:szCs w:val="24"/>
        </w:rPr>
        <w:t>（8）系统地研究了公路交通标志视认性及设置有效性，填补了汉字交通标志基础性研究的空白。</w:t>
      </w:r>
    </w:p>
    <w:p>
      <w:pPr>
        <w:pStyle w:val="11"/>
        <w:ind w:firstLine="482"/>
        <w:outlineLvl w:val="2"/>
        <w:rPr>
          <w:rFonts w:ascii="Times New Roman"/>
          <w:b/>
          <w:szCs w:val="24"/>
        </w:rPr>
      </w:pPr>
      <w:r>
        <w:rPr>
          <w:rFonts w:ascii="Times New Roman"/>
          <w:b/>
          <w:szCs w:val="24"/>
        </w:rPr>
        <w:t>3、标准规范与知识产权</w:t>
      </w:r>
    </w:p>
    <w:p>
      <w:pPr>
        <w:pStyle w:val="11"/>
        <w:rPr>
          <w:rFonts w:ascii="Times New Roman"/>
          <w:kern w:val="0"/>
          <w:szCs w:val="24"/>
        </w:rPr>
      </w:pPr>
      <w:r>
        <w:rPr>
          <w:rFonts w:ascii="Times New Roman"/>
          <w:szCs w:val="24"/>
        </w:rPr>
        <w:t>（1）形成标准规范18部、纳入20余部</w:t>
      </w:r>
      <w:r>
        <w:rPr>
          <w:rFonts w:ascii="Times New Roman"/>
          <w:kern w:val="0"/>
          <w:szCs w:val="24"/>
        </w:rPr>
        <w:t>。</w:t>
      </w:r>
    </w:p>
    <w:p>
      <w:pPr>
        <w:pStyle w:val="11"/>
        <w:rPr>
          <w:rFonts w:ascii="Times New Roman"/>
          <w:szCs w:val="24"/>
        </w:rPr>
      </w:pPr>
      <w:r>
        <w:rPr>
          <w:rFonts w:ascii="Times New Roman"/>
          <w:szCs w:val="24"/>
        </w:rPr>
        <w:t>（2）授权发明专利17项。</w:t>
      </w:r>
    </w:p>
    <w:p>
      <w:pPr>
        <w:pStyle w:val="11"/>
        <w:rPr>
          <w:rFonts w:ascii="Times New Roman"/>
          <w:szCs w:val="24"/>
        </w:rPr>
      </w:pPr>
      <w:r>
        <w:rPr>
          <w:rFonts w:ascii="Times New Roman"/>
          <w:szCs w:val="24"/>
        </w:rPr>
        <w:t>（3）出版23部专著</w:t>
      </w:r>
      <w:r>
        <w:rPr>
          <w:rFonts w:hint="eastAsia" w:ascii="Times New Roman"/>
          <w:szCs w:val="24"/>
        </w:rPr>
        <w:t>。</w:t>
      </w:r>
    </w:p>
    <w:p>
      <w:pPr>
        <w:pStyle w:val="11"/>
        <w:rPr>
          <w:rFonts w:ascii="Times New Roman"/>
          <w:szCs w:val="24"/>
        </w:rPr>
      </w:pPr>
      <w:r>
        <w:rPr>
          <w:rFonts w:ascii="Times New Roman"/>
          <w:szCs w:val="24"/>
        </w:rPr>
        <w:t>（4）发表SCI/EI检索论文40篇。</w:t>
      </w:r>
    </w:p>
    <w:p>
      <w:pPr>
        <w:spacing w:line="360" w:lineRule="auto"/>
        <w:ind w:firstLine="482" w:firstLineChars="200"/>
        <w:outlineLvl w:val="0"/>
        <w:rPr>
          <w:b/>
          <w:sz w:val="24"/>
          <w:szCs w:val="24"/>
        </w:rPr>
      </w:pPr>
      <w:r>
        <w:rPr>
          <w:rFonts w:hint="eastAsia"/>
          <w:b/>
          <w:sz w:val="24"/>
          <w:szCs w:val="24"/>
        </w:rPr>
        <w:t>五、</w:t>
      </w:r>
      <w:r>
        <w:rPr>
          <w:b/>
          <w:sz w:val="24"/>
          <w:szCs w:val="24"/>
        </w:rPr>
        <w:t>推广应用情况</w:t>
      </w:r>
    </w:p>
    <w:p>
      <w:pPr>
        <w:snapToGrid w:val="0"/>
        <w:spacing w:line="360" w:lineRule="auto"/>
        <w:ind w:firstLine="480" w:firstLineChars="200"/>
        <w:rPr>
          <w:sz w:val="24"/>
          <w:szCs w:val="24"/>
        </w:rPr>
      </w:pPr>
      <w:r>
        <w:rPr>
          <w:sz w:val="24"/>
          <w:szCs w:val="24"/>
        </w:rPr>
        <w:t>成果形成1</w:t>
      </w:r>
      <w:r>
        <w:rPr>
          <w:rFonts w:hint="eastAsia"/>
          <w:sz w:val="24"/>
          <w:szCs w:val="24"/>
        </w:rPr>
        <w:t>8</w:t>
      </w:r>
      <w:r>
        <w:rPr>
          <w:sz w:val="24"/>
          <w:szCs w:val="24"/>
        </w:rPr>
        <w:t>部、纳入20余部国家和行业标准规范，支撑全国超过42万处、13万多公里公路安全保障工程实施、6万多公里国家高速公路网交通标志改造，以及</w:t>
      </w:r>
      <w:r>
        <w:rPr>
          <w:rFonts w:hint="eastAsia"/>
          <w:sz w:val="24"/>
          <w:szCs w:val="24"/>
        </w:rPr>
        <w:t>8</w:t>
      </w:r>
      <w:r>
        <w:rPr>
          <w:sz w:val="24"/>
          <w:szCs w:val="24"/>
        </w:rPr>
        <w:t>万多公里高速公路的安全性评价，实现了面向全国的推广应用。公</w:t>
      </w:r>
      <w:r>
        <w:rPr>
          <w:kern w:val="0"/>
          <w:sz w:val="24"/>
          <w:szCs w:val="24"/>
          <w:lang w:val="zh-CN"/>
        </w:rPr>
        <w:t>路网交通安全保障能力提升明显，</w:t>
      </w:r>
      <w:r>
        <w:rPr>
          <w:sz w:val="24"/>
          <w:szCs w:val="24"/>
        </w:rPr>
        <w:t>我国公路交通事故年死亡人数2013年比2003年降低48.3%，促进我国公路交通安全环境持续稳步改善。公路安全保障工程获得国际道路联合会的安全奖项，公路网安全风险评估技术</w:t>
      </w:r>
      <w:r>
        <w:rPr>
          <w:kern w:val="0"/>
          <w:sz w:val="24"/>
          <w:szCs w:val="24"/>
          <w:lang w:val="zh-CN"/>
        </w:rPr>
        <w:t>走出了国门，得到国际同行认可，提升了我国在公路交通安全研究与应用领域的知名度和影响力。</w:t>
      </w:r>
    </w:p>
    <w:p>
      <w:pPr>
        <w:adjustRightInd w:val="0"/>
        <w:snapToGrid w:val="0"/>
        <w:spacing w:line="360" w:lineRule="exact"/>
        <w:jc w:val="center"/>
        <w:rPr>
          <w:sz w:val="24"/>
          <w:szCs w:val="24"/>
        </w:rPr>
      </w:pPr>
      <w:r>
        <w:rPr>
          <w:rFonts w:eastAsia="黑体"/>
          <w:sz w:val="24"/>
          <w:szCs w:val="24"/>
        </w:rPr>
        <w:t>主要应用单位情况表</w:t>
      </w:r>
    </w:p>
    <w:tbl>
      <w:tblPr>
        <w:tblStyle w:val="23"/>
        <w:tblW w:w="8898" w:type="dxa"/>
        <w:tblInd w:w="0" w:type="dxa"/>
        <w:tblLayout w:type="fixed"/>
        <w:tblCellMar>
          <w:top w:w="0" w:type="dxa"/>
          <w:left w:w="108" w:type="dxa"/>
          <w:bottom w:w="0" w:type="dxa"/>
          <w:right w:w="108" w:type="dxa"/>
        </w:tblCellMar>
      </w:tblPr>
      <w:tblGrid>
        <w:gridCol w:w="1188"/>
        <w:gridCol w:w="2748"/>
        <w:gridCol w:w="1189"/>
        <w:gridCol w:w="1568"/>
        <w:gridCol w:w="2205"/>
      </w:tblGrid>
      <w:tr>
        <w:tblPrEx>
          <w:tblLayout w:type="fixed"/>
          <w:tblCellMar>
            <w:top w:w="0" w:type="dxa"/>
            <w:left w:w="108" w:type="dxa"/>
            <w:bottom w:w="0" w:type="dxa"/>
            <w:right w:w="108" w:type="dxa"/>
          </w:tblCellMar>
        </w:tblPrEx>
        <w:trPr>
          <w:trHeight w:val="510" w:hRule="atLeast"/>
        </w:trPr>
        <w:tc>
          <w:tcPr>
            <w:tcW w:w="1188"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应用单位名称</w:t>
            </w:r>
          </w:p>
        </w:tc>
        <w:tc>
          <w:tcPr>
            <w:tcW w:w="2748"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应用技术</w:t>
            </w:r>
          </w:p>
        </w:tc>
        <w:tc>
          <w:tcPr>
            <w:tcW w:w="1189"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应用的起止时间</w:t>
            </w:r>
          </w:p>
        </w:tc>
        <w:tc>
          <w:tcPr>
            <w:tcW w:w="1568"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应用单位联系人/电话</w:t>
            </w:r>
          </w:p>
        </w:tc>
        <w:tc>
          <w:tcPr>
            <w:tcW w:w="2205" w:type="dxa"/>
            <w:tcBorders>
              <w:top w:val="single" w:color="auto" w:sz="8" w:space="0"/>
              <w:left w:val="nil"/>
              <w:bottom w:val="single" w:color="auto" w:sz="4" w:space="0"/>
              <w:right w:val="single" w:color="auto" w:sz="8"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经济、社会效益</w:t>
            </w:r>
          </w:p>
        </w:tc>
      </w:tr>
      <w:tr>
        <w:tblPrEx>
          <w:tblLayout w:type="fixed"/>
          <w:tblCellMar>
            <w:top w:w="0" w:type="dxa"/>
            <w:left w:w="108" w:type="dxa"/>
            <w:bottom w:w="0" w:type="dxa"/>
            <w:right w:w="108" w:type="dxa"/>
          </w:tblCellMar>
        </w:tblPrEx>
        <w:trPr>
          <w:trHeight w:val="510" w:hRule="atLeast"/>
        </w:trPr>
        <w:tc>
          <w:tcPr>
            <w:tcW w:w="118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交通运输部公路局</w:t>
            </w:r>
          </w:p>
        </w:tc>
        <w:tc>
          <w:tcPr>
            <w:tcW w:w="2748"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公路路线、交安设施设计和安全性评价技术</w:t>
            </w:r>
          </w:p>
        </w:tc>
        <w:tc>
          <w:tcPr>
            <w:tcW w:w="118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2000-2009</w:t>
            </w:r>
          </w:p>
        </w:tc>
        <w:tc>
          <w:tcPr>
            <w:tcW w:w="15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李健/01065292276</w:t>
            </w:r>
          </w:p>
        </w:tc>
        <w:tc>
          <w:tcPr>
            <w:tcW w:w="2205" w:type="dxa"/>
            <w:tcBorders>
              <w:top w:val="nil"/>
              <w:left w:val="nil"/>
              <w:bottom w:val="single" w:color="auto" w:sz="4" w:space="0"/>
              <w:right w:val="single" w:color="auto" w:sz="8"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指导公路设计、评价和安保工程</w:t>
            </w:r>
          </w:p>
        </w:tc>
      </w:tr>
      <w:tr>
        <w:tblPrEx>
          <w:tblLayout w:type="fixed"/>
          <w:tblCellMar>
            <w:top w:w="0" w:type="dxa"/>
            <w:left w:w="108" w:type="dxa"/>
            <w:bottom w:w="0" w:type="dxa"/>
            <w:right w:w="108" w:type="dxa"/>
          </w:tblCellMar>
        </w:tblPrEx>
        <w:trPr>
          <w:trHeight w:val="510" w:hRule="atLeast"/>
        </w:trPr>
        <w:tc>
          <w:tcPr>
            <w:tcW w:w="118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交通运输部公路局</w:t>
            </w:r>
          </w:p>
        </w:tc>
        <w:tc>
          <w:tcPr>
            <w:tcW w:w="2748"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公路安全设计、事故多发路段判别、特殊路段综合处置</w:t>
            </w:r>
          </w:p>
        </w:tc>
        <w:tc>
          <w:tcPr>
            <w:tcW w:w="118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2004-2009</w:t>
            </w:r>
          </w:p>
        </w:tc>
        <w:tc>
          <w:tcPr>
            <w:tcW w:w="15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花蕾/01065292746</w:t>
            </w:r>
          </w:p>
        </w:tc>
        <w:tc>
          <w:tcPr>
            <w:tcW w:w="2205" w:type="dxa"/>
            <w:tcBorders>
              <w:top w:val="nil"/>
              <w:left w:val="nil"/>
              <w:bottom w:val="single" w:color="auto" w:sz="4" w:space="0"/>
              <w:right w:val="single" w:color="auto" w:sz="8"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提高公路行车安全</w:t>
            </w:r>
          </w:p>
        </w:tc>
      </w:tr>
      <w:tr>
        <w:tblPrEx>
          <w:tblLayout w:type="fixed"/>
          <w:tblCellMar>
            <w:top w:w="0" w:type="dxa"/>
            <w:left w:w="108" w:type="dxa"/>
            <w:bottom w:w="0" w:type="dxa"/>
            <w:right w:w="108" w:type="dxa"/>
          </w:tblCellMar>
        </w:tblPrEx>
        <w:trPr>
          <w:trHeight w:val="510" w:hRule="atLeast"/>
        </w:trPr>
        <w:tc>
          <w:tcPr>
            <w:tcW w:w="118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交通运输部公路局</w:t>
            </w:r>
          </w:p>
        </w:tc>
        <w:tc>
          <w:tcPr>
            <w:tcW w:w="2748"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国家高速公路网指路体系应用</w:t>
            </w:r>
          </w:p>
        </w:tc>
        <w:tc>
          <w:tcPr>
            <w:tcW w:w="118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2004-2009</w:t>
            </w:r>
          </w:p>
        </w:tc>
        <w:tc>
          <w:tcPr>
            <w:tcW w:w="15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曹江/01062529274</w:t>
            </w:r>
          </w:p>
        </w:tc>
        <w:tc>
          <w:tcPr>
            <w:tcW w:w="2205" w:type="dxa"/>
            <w:tcBorders>
              <w:top w:val="nil"/>
              <w:left w:val="nil"/>
              <w:bottom w:val="single" w:color="auto" w:sz="4" w:space="0"/>
              <w:right w:val="single" w:color="auto" w:sz="8"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有力促进公路标志管理工作制度化和科学化建设</w:t>
            </w:r>
          </w:p>
        </w:tc>
      </w:tr>
      <w:tr>
        <w:tblPrEx>
          <w:tblLayout w:type="fixed"/>
          <w:tblCellMar>
            <w:top w:w="0" w:type="dxa"/>
            <w:left w:w="108" w:type="dxa"/>
            <w:bottom w:w="0" w:type="dxa"/>
            <w:right w:w="108" w:type="dxa"/>
          </w:tblCellMar>
        </w:tblPrEx>
        <w:trPr>
          <w:trHeight w:val="870" w:hRule="atLeast"/>
        </w:trPr>
        <w:tc>
          <w:tcPr>
            <w:tcW w:w="118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公安部交通管理科学研究所</w:t>
            </w:r>
          </w:p>
        </w:tc>
        <w:tc>
          <w:tcPr>
            <w:tcW w:w="2748"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指路标志信息分层、选取设置技术、速度管理技术与设施、国省干线公路安全保障工程</w:t>
            </w:r>
          </w:p>
        </w:tc>
        <w:tc>
          <w:tcPr>
            <w:tcW w:w="118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2004-2009</w:t>
            </w:r>
          </w:p>
        </w:tc>
        <w:tc>
          <w:tcPr>
            <w:tcW w:w="15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王长君/13806195432</w:t>
            </w:r>
          </w:p>
        </w:tc>
        <w:tc>
          <w:tcPr>
            <w:tcW w:w="2205" w:type="dxa"/>
            <w:tcBorders>
              <w:top w:val="nil"/>
              <w:left w:val="nil"/>
              <w:bottom w:val="single" w:color="auto" w:sz="4" w:space="0"/>
              <w:right w:val="single" w:color="auto" w:sz="8"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增强公路交通标志标线视认性和设置有效性，显著提高公路安全保障水平</w:t>
            </w:r>
          </w:p>
        </w:tc>
      </w:tr>
      <w:tr>
        <w:tblPrEx>
          <w:tblLayout w:type="fixed"/>
        </w:tblPrEx>
        <w:trPr>
          <w:trHeight w:val="525" w:hRule="atLeast"/>
        </w:trPr>
        <w:tc>
          <w:tcPr>
            <w:tcW w:w="1188" w:type="dxa"/>
            <w:tcBorders>
              <w:top w:val="nil"/>
              <w:left w:val="single" w:color="auto" w:sz="8" w:space="0"/>
              <w:bottom w:val="single" w:color="auto" w:sz="8"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浙江省公安厅交通管理局</w:t>
            </w:r>
          </w:p>
        </w:tc>
        <w:tc>
          <w:tcPr>
            <w:tcW w:w="2748" w:type="dxa"/>
            <w:tcBorders>
              <w:top w:val="nil"/>
              <w:left w:val="nil"/>
              <w:bottom w:val="single" w:color="auto" w:sz="8"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事故多发段判别、安全设施设计、特殊路段综合处置</w:t>
            </w:r>
          </w:p>
        </w:tc>
        <w:tc>
          <w:tcPr>
            <w:tcW w:w="1189" w:type="dxa"/>
            <w:tcBorders>
              <w:top w:val="nil"/>
              <w:left w:val="nil"/>
              <w:bottom w:val="single" w:color="auto" w:sz="8"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2007-2009</w:t>
            </w:r>
          </w:p>
        </w:tc>
        <w:tc>
          <w:tcPr>
            <w:tcW w:w="1568" w:type="dxa"/>
            <w:tcBorders>
              <w:top w:val="nil"/>
              <w:left w:val="nil"/>
              <w:bottom w:val="single" w:color="auto" w:sz="8"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夏方庆/13857167541</w:t>
            </w:r>
          </w:p>
        </w:tc>
        <w:tc>
          <w:tcPr>
            <w:tcW w:w="2205" w:type="dxa"/>
            <w:tcBorders>
              <w:top w:val="nil"/>
              <w:left w:val="nil"/>
              <w:bottom w:val="single" w:color="auto" w:sz="8" w:space="0"/>
              <w:right w:val="single" w:color="auto" w:sz="8"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降低事故多发点（段）事故数</w:t>
            </w:r>
          </w:p>
        </w:tc>
      </w:tr>
    </w:tbl>
    <w:p>
      <w:pPr>
        <w:snapToGrid w:val="0"/>
        <w:spacing w:line="360" w:lineRule="auto"/>
        <w:ind w:firstLine="480" w:firstLineChars="200"/>
        <w:rPr>
          <w:sz w:val="24"/>
          <w:szCs w:val="24"/>
        </w:rPr>
      </w:pPr>
    </w:p>
    <w:p>
      <w:pPr>
        <w:snapToGrid w:val="0"/>
        <w:spacing w:line="360" w:lineRule="auto"/>
        <w:ind w:firstLine="480" w:firstLineChars="200"/>
        <w:rPr>
          <w:sz w:val="24"/>
          <w:szCs w:val="24"/>
        </w:rPr>
      </w:pPr>
    </w:p>
    <w:p>
      <w:pPr>
        <w:snapToGrid w:val="0"/>
        <w:spacing w:line="360" w:lineRule="auto"/>
        <w:ind w:firstLine="480" w:firstLineChars="200"/>
        <w:rPr>
          <w:sz w:val="24"/>
          <w:szCs w:val="24"/>
        </w:rPr>
      </w:pPr>
    </w:p>
    <w:p>
      <w:pPr>
        <w:snapToGrid w:val="0"/>
        <w:spacing w:line="360" w:lineRule="auto"/>
        <w:ind w:firstLine="480" w:firstLineChars="200"/>
        <w:rPr>
          <w:sz w:val="24"/>
          <w:szCs w:val="24"/>
        </w:rPr>
      </w:pPr>
    </w:p>
    <w:p>
      <w:pPr>
        <w:widowControl/>
        <w:jc w:val="left"/>
        <w:rPr>
          <w:sz w:val="24"/>
          <w:szCs w:val="24"/>
        </w:rPr>
      </w:pPr>
      <w:r>
        <w:rPr>
          <w:sz w:val="24"/>
          <w:szCs w:val="24"/>
        </w:rPr>
        <w:br w:type="page"/>
      </w:r>
    </w:p>
    <w:p>
      <w:pPr>
        <w:ind w:firstLine="482" w:firstLineChars="200"/>
        <w:outlineLvl w:val="0"/>
        <w:rPr>
          <w:b/>
          <w:sz w:val="24"/>
          <w:szCs w:val="24"/>
        </w:rPr>
        <w:sectPr>
          <w:footerReference r:id="rId3" w:type="default"/>
          <w:footerReference r:id="rId4" w:type="even"/>
          <w:pgSz w:w="11906" w:h="16838"/>
          <w:pgMar w:top="1418" w:right="1588" w:bottom="1474" w:left="1588" w:header="851" w:footer="1021" w:gutter="0"/>
          <w:cols w:space="720" w:num="1"/>
        </w:sectPr>
      </w:pPr>
    </w:p>
    <w:p>
      <w:pPr>
        <w:ind w:firstLine="482" w:firstLineChars="200"/>
        <w:outlineLvl w:val="0"/>
        <w:rPr>
          <w:b/>
          <w:sz w:val="24"/>
          <w:szCs w:val="24"/>
        </w:rPr>
      </w:pPr>
      <w:r>
        <w:rPr>
          <w:rFonts w:hint="eastAsia"/>
          <w:b/>
          <w:sz w:val="24"/>
          <w:szCs w:val="24"/>
        </w:rPr>
        <w:t>六、</w:t>
      </w:r>
      <w:r>
        <w:rPr>
          <w:b/>
          <w:sz w:val="24"/>
          <w:szCs w:val="24"/>
        </w:rPr>
        <w:t>主要知识产权证明目录</w:t>
      </w:r>
    </w:p>
    <w:tbl>
      <w:tblPr>
        <w:tblStyle w:val="23"/>
        <w:tblW w:w="1399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155"/>
        <w:gridCol w:w="2268"/>
        <w:gridCol w:w="709"/>
        <w:gridCol w:w="1985"/>
        <w:gridCol w:w="1275"/>
        <w:gridCol w:w="993"/>
        <w:gridCol w:w="2693"/>
        <w:gridCol w:w="1738"/>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1155" w:type="dxa"/>
            <w:vAlign w:val="center"/>
          </w:tcPr>
          <w:p>
            <w:pPr>
              <w:pStyle w:val="44"/>
              <w:spacing w:line="390" w:lineRule="exact"/>
              <w:ind w:firstLine="0" w:firstLineChars="0"/>
              <w:jc w:val="center"/>
              <w:rPr>
                <w:rFonts w:ascii="Times New Roman"/>
                <w:color w:val="0D0D0D"/>
                <w:kern w:val="2"/>
                <w:sz w:val="18"/>
                <w:szCs w:val="18"/>
              </w:rPr>
            </w:pPr>
            <w:r>
              <w:rPr>
                <w:rFonts w:ascii="Times New Roman"/>
                <w:color w:val="0D0D0D"/>
                <w:kern w:val="2"/>
                <w:sz w:val="18"/>
                <w:szCs w:val="18"/>
              </w:rPr>
              <w:t>知识产权类别</w:t>
            </w:r>
          </w:p>
        </w:tc>
        <w:tc>
          <w:tcPr>
            <w:tcW w:w="2268" w:type="dxa"/>
            <w:vAlign w:val="center"/>
          </w:tcPr>
          <w:p>
            <w:pPr>
              <w:pStyle w:val="44"/>
              <w:spacing w:line="390" w:lineRule="exact"/>
              <w:ind w:firstLine="0" w:firstLineChars="0"/>
              <w:jc w:val="center"/>
              <w:rPr>
                <w:rFonts w:ascii="Times New Roman"/>
                <w:color w:val="0D0D0D"/>
                <w:kern w:val="2"/>
                <w:sz w:val="18"/>
                <w:szCs w:val="18"/>
              </w:rPr>
            </w:pPr>
            <w:r>
              <w:rPr>
                <w:rFonts w:ascii="Times New Roman"/>
                <w:color w:val="0D0D0D"/>
                <w:kern w:val="2"/>
                <w:sz w:val="18"/>
                <w:szCs w:val="18"/>
              </w:rPr>
              <w:t>知识产权具体名称</w:t>
            </w:r>
          </w:p>
        </w:tc>
        <w:tc>
          <w:tcPr>
            <w:tcW w:w="709" w:type="dxa"/>
            <w:vAlign w:val="center"/>
          </w:tcPr>
          <w:p>
            <w:pPr>
              <w:pStyle w:val="44"/>
              <w:spacing w:line="390" w:lineRule="exact"/>
              <w:ind w:firstLine="0" w:firstLineChars="0"/>
              <w:jc w:val="center"/>
              <w:rPr>
                <w:rFonts w:ascii="Times New Roman"/>
                <w:color w:val="0D0D0D"/>
                <w:kern w:val="2"/>
                <w:sz w:val="18"/>
                <w:szCs w:val="18"/>
              </w:rPr>
            </w:pPr>
            <w:r>
              <w:rPr>
                <w:rFonts w:ascii="Times New Roman"/>
                <w:color w:val="0D0D0D"/>
                <w:kern w:val="2"/>
                <w:sz w:val="18"/>
                <w:szCs w:val="18"/>
              </w:rPr>
              <w:t>国家(地区)</w:t>
            </w:r>
          </w:p>
        </w:tc>
        <w:tc>
          <w:tcPr>
            <w:tcW w:w="1985" w:type="dxa"/>
            <w:vAlign w:val="center"/>
          </w:tcPr>
          <w:p>
            <w:pPr>
              <w:pStyle w:val="44"/>
              <w:spacing w:line="390" w:lineRule="exact"/>
              <w:ind w:firstLine="0" w:firstLineChars="0"/>
              <w:jc w:val="center"/>
              <w:rPr>
                <w:rFonts w:ascii="Times New Roman"/>
                <w:color w:val="0D0D0D"/>
                <w:kern w:val="2"/>
                <w:sz w:val="18"/>
                <w:szCs w:val="18"/>
              </w:rPr>
            </w:pPr>
            <w:r>
              <w:rPr>
                <w:rFonts w:ascii="Times New Roman"/>
                <w:color w:val="0D0D0D"/>
                <w:kern w:val="2"/>
                <w:sz w:val="18"/>
                <w:szCs w:val="18"/>
              </w:rPr>
              <w:t>授权号</w:t>
            </w:r>
          </w:p>
        </w:tc>
        <w:tc>
          <w:tcPr>
            <w:tcW w:w="1275" w:type="dxa"/>
            <w:vAlign w:val="center"/>
          </w:tcPr>
          <w:p>
            <w:pPr>
              <w:pStyle w:val="44"/>
              <w:spacing w:line="390" w:lineRule="exact"/>
              <w:ind w:firstLine="0" w:firstLineChars="0"/>
              <w:jc w:val="center"/>
              <w:rPr>
                <w:rFonts w:ascii="Times New Roman"/>
                <w:color w:val="0D0D0D"/>
                <w:kern w:val="2"/>
                <w:sz w:val="18"/>
                <w:szCs w:val="18"/>
              </w:rPr>
            </w:pPr>
            <w:r>
              <w:rPr>
                <w:rFonts w:ascii="Times New Roman"/>
                <w:color w:val="0D0D0D"/>
                <w:kern w:val="2"/>
                <w:sz w:val="18"/>
                <w:szCs w:val="18"/>
              </w:rPr>
              <w:t>授权日期</w:t>
            </w:r>
          </w:p>
        </w:tc>
        <w:tc>
          <w:tcPr>
            <w:tcW w:w="993" w:type="dxa"/>
            <w:vAlign w:val="center"/>
          </w:tcPr>
          <w:p>
            <w:pPr>
              <w:pStyle w:val="44"/>
              <w:spacing w:line="390" w:lineRule="exact"/>
              <w:ind w:firstLine="0" w:firstLineChars="0"/>
              <w:jc w:val="center"/>
              <w:rPr>
                <w:rFonts w:ascii="Times New Roman"/>
                <w:color w:val="0D0D0D"/>
                <w:kern w:val="2"/>
                <w:sz w:val="18"/>
                <w:szCs w:val="18"/>
              </w:rPr>
            </w:pPr>
            <w:r>
              <w:rPr>
                <w:rFonts w:ascii="Times New Roman"/>
                <w:color w:val="0D0D0D"/>
                <w:kern w:val="2"/>
                <w:sz w:val="18"/>
                <w:szCs w:val="18"/>
              </w:rPr>
              <w:t>证书编号</w:t>
            </w:r>
          </w:p>
        </w:tc>
        <w:tc>
          <w:tcPr>
            <w:tcW w:w="2693" w:type="dxa"/>
            <w:vAlign w:val="center"/>
          </w:tcPr>
          <w:p>
            <w:pPr>
              <w:pStyle w:val="44"/>
              <w:spacing w:line="390" w:lineRule="exact"/>
              <w:ind w:firstLine="0" w:firstLineChars="0"/>
              <w:jc w:val="center"/>
              <w:rPr>
                <w:rFonts w:ascii="Times New Roman"/>
                <w:color w:val="0D0D0D"/>
                <w:kern w:val="2"/>
                <w:sz w:val="18"/>
                <w:szCs w:val="18"/>
              </w:rPr>
            </w:pPr>
            <w:r>
              <w:rPr>
                <w:rFonts w:ascii="Times New Roman"/>
                <w:color w:val="0D0D0D"/>
                <w:kern w:val="2"/>
                <w:sz w:val="18"/>
                <w:szCs w:val="18"/>
              </w:rPr>
              <w:t>权利人</w:t>
            </w:r>
          </w:p>
        </w:tc>
        <w:tc>
          <w:tcPr>
            <w:tcW w:w="1738" w:type="dxa"/>
            <w:vAlign w:val="center"/>
          </w:tcPr>
          <w:p>
            <w:pPr>
              <w:pStyle w:val="44"/>
              <w:spacing w:line="390" w:lineRule="exact"/>
              <w:ind w:firstLine="0" w:firstLineChars="0"/>
              <w:jc w:val="center"/>
              <w:rPr>
                <w:rFonts w:ascii="Times New Roman"/>
                <w:color w:val="0D0D0D"/>
                <w:kern w:val="2"/>
                <w:sz w:val="18"/>
                <w:szCs w:val="18"/>
              </w:rPr>
            </w:pPr>
            <w:r>
              <w:rPr>
                <w:rFonts w:ascii="Times New Roman"/>
                <w:color w:val="0D0D0D"/>
                <w:kern w:val="2"/>
                <w:sz w:val="18"/>
                <w:szCs w:val="18"/>
              </w:rPr>
              <w:t>发明人</w:t>
            </w:r>
          </w:p>
        </w:tc>
        <w:tc>
          <w:tcPr>
            <w:tcW w:w="1183" w:type="dxa"/>
            <w:vAlign w:val="center"/>
          </w:tcPr>
          <w:p>
            <w:pPr>
              <w:pStyle w:val="44"/>
              <w:spacing w:line="390" w:lineRule="exact"/>
              <w:ind w:firstLine="0" w:firstLineChars="0"/>
              <w:jc w:val="center"/>
              <w:rPr>
                <w:rFonts w:ascii="Times New Roman"/>
                <w:color w:val="0D0D0D"/>
                <w:kern w:val="2"/>
                <w:sz w:val="18"/>
                <w:szCs w:val="18"/>
              </w:rPr>
            </w:pPr>
            <w:r>
              <w:rPr>
                <w:rFonts w:ascii="Times New Roman"/>
                <w:color w:val="0D0D0D"/>
                <w:kern w:val="2"/>
                <w:sz w:val="18"/>
                <w:szCs w:val="18"/>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09" w:hRule="atLeast"/>
          <w:jc w:val="center"/>
        </w:trPr>
        <w:tc>
          <w:tcPr>
            <w:tcW w:w="115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发明专利</w:t>
            </w:r>
          </w:p>
        </w:tc>
        <w:tc>
          <w:tcPr>
            <w:tcW w:w="226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一种雾区行车引导方法和系统</w:t>
            </w:r>
          </w:p>
        </w:tc>
        <w:tc>
          <w:tcPr>
            <w:tcW w:w="709"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中国</w:t>
            </w:r>
          </w:p>
        </w:tc>
        <w:tc>
          <w:tcPr>
            <w:tcW w:w="198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ZL201110155757.4</w:t>
            </w:r>
          </w:p>
        </w:tc>
        <w:tc>
          <w:tcPr>
            <w:tcW w:w="127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2015.04</w:t>
            </w:r>
          </w:p>
        </w:tc>
        <w:tc>
          <w:tcPr>
            <w:tcW w:w="9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1631351</w:t>
            </w:r>
          </w:p>
        </w:tc>
        <w:tc>
          <w:tcPr>
            <w:tcW w:w="26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交通运输部公路科学研究所</w:t>
            </w:r>
          </w:p>
        </w:tc>
        <w:tc>
          <w:tcPr>
            <w:tcW w:w="173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李长城</w:t>
            </w:r>
          </w:p>
        </w:tc>
        <w:tc>
          <w:tcPr>
            <w:tcW w:w="118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11" w:hRule="atLeast"/>
          <w:jc w:val="center"/>
        </w:trPr>
        <w:tc>
          <w:tcPr>
            <w:tcW w:w="115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发明专利</w:t>
            </w:r>
          </w:p>
        </w:tc>
        <w:tc>
          <w:tcPr>
            <w:tcW w:w="226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视觉环境光照条件可调的视认反应时间测试仪及测试方法</w:t>
            </w:r>
          </w:p>
        </w:tc>
        <w:tc>
          <w:tcPr>
            <w:tcW w:w="709"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中国</w:t>
            </w:r>
          </w:p>
        </w:tc>
        <w:tc>
          <w:tcPr>
            <w:tcW w:w="198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ZL201010144867.6</w:t>
            </w:r>
          </w:p>
        </w:tc>
        <w:tc>
          <w:tcPr>
            <w:tcW w:w="127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2011.01</w:t>
            </w:r>
          </w:p>
        </w:tc>
        <w:tc>
          <w:tcPr>
            <w:tcW w:w="9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860030</w:t>
            </w:r>
          </w:p>
        </w:tc>
        <w:tc>
          <w:tcPr>
            <w:tcW w:w="26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交通运输部公路科学研究所</w:t>
            </w:r>
          </w:p>
        </w:tc>
        <w:tc>
          <w:tcPr>
            <w:tcW w:w="173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杨勇</w:t>
            </w:r>
          </w:p>
        </w:tc>
        <w:tc>
          <w:tcPr>
            <w:tcW w:w="118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3" w:hRule="atLeast"/>
          <w:jc w:val="center"/>
        </w:trPr>
        <w:tc>
          <w:tcPr>
            <w:tcW w:w="115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发明专利</w:t>
            </w:r>
          </w:p>
        </w:tc>
        <w:tc>
          <w:tcPr>
            <w:tcW w:w="226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冲击弹性波激励残留信号抑制装置及抑制方法</w:t>
            </w:r>
          </w:p>
        </w:tc>
        <w:tc>
          <w:tcPr>
            <w:tcW w:w="709"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中国</w:t>
            </w:r>
          </w:p>
        </w:tc>
        <w:tc>
          <w:tcPr>
            <w:tcW w:w="198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ZL200810240908.4</w:t>
            </w:r>
          </w:p>
        </w:tc>
        <w:tc>
          <w:tcPr>
            <w:tcW w:w="127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2010.11</w:t>
            </w:r>
          </w:p>
        </w:tc>
        <w:tc>
          <w:tcPr>
            <w:tcW w:w="9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694403</w:t>
            </w:r>
          </w:p>
        </w:tc>
        <w:tc>
          <w:tcPr>
            <w:tcW w:w="26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北京中交华安科技有限公司</w:t>
            </w:r>
          </w:p>
        </w:tc>
        <w:tc>
          <w:tcPr>
            <w:tcW w:w="173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张高强</w:t>
            </w:r>
          </w:p>
        </w:tc>
        <w:tc>
          <w:tcPr>
            <w:tcW w:w="118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310" w:hRule="atLeast"/>
          <w:jc w:val="center"/>
        </w:trPr>
        <w:tc>
          <w:tcPr>
            <w:tcW w:w="115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发明专利</w:t>
            </w:r>
          </w:p>
        </w:tc>
        <w:tc>
          <w:tcPr>
            <w:tcW w:w="226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一种道路交通能见度差值获取方法</w:t>
            </w:r>
          </w:p>
        </w:tc>
        <w:tc>
          <w:tcPr>
            <w:tcW w:w="709"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中国</w:t>
            </w:r>
          </w:p>
        </w:tc>
        <w:tc>
          <w:tcPr>
            <w:tcW w:w="198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ZL201010530158.1</w:t>
            </w:r>
          </w:p>
        </w:tc>
        <w:tc>
          <w:tcPr>
            <w:tcW w:w="127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2012.05</w:t>
            </w:r>
          </w:p>
        </w:tc>
        <w:tc>
          <w:tcPr>
            <w:tcW w:w="9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942735</w:t>
            </w:r>
          </w:p>
        </w:tc>
        <w:tc>
          <w:tcPr>
            <w:tcW w:w="26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杭州博达伟业公共安全技术股份有限公司</w:t>
            </w:r>
          </w:p>
        </w:tc>
        <w:tc>
          <w:tcPr>
            <w:tcW w:w="173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陈伟</w:t>
            </w:r>
          </w:p>
        </w:tc>
        <w:tc>
          <w:tcPr>
            <w:tcW w:w="118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3" w:hRule="atLeast"/>
          <w:jc w:val="center"/>
        </w:trPr>
        <w:tc>
          <w:tcPr>
            <w:tcW w:w="115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发明专利</w:t>
            </w:r>
          </w:p>
        </w:tc>
        <w:tc>
          <w:tcPr>
            <w:tcW w:w="226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道路交通冲突预警装置</w:t>
            </w:r>
          </w:p>
        </w:tc>
        <w:tc>
          <w:tcPr>
            <w:tcW w:w="709"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中国</w:t>
            </w:r>
          </w:p>
        </w:tc>
        <w:tc>
          <w:tcPr>
            <w:tcW w:w="198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ZL200710156647.3</w:t>
            </w:r>
          </w:p>
        </w:tc>
        <w:tc>
          <w:tcPr>
            <w:tcW w:w="127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2009.6</w:t>
            </w:r>
          </w:p>
        </w:tc>
        <w:tc>
          <w:tcPr>
            <w:tcW w:w="9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515064</w:t>
            </w:r>
          </w:p>
        </w:tc>
        <w:tc>
          <w:tcPr>
            <w:tcW w:w="26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杭州博达伟业公共安全技术股份有限公司</w:t>
            </w:r>
          </w:p>
        </w:tc>
        <w:tc>
          <w:tcPr>
            <w:tcW w:w="173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陈伟</w:t>
            </w:r>
          </w:p>
        </w:tc>
        <w:tc>
          <w:tcPr>
            <w:tcW w:w="118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59" w:hRule="atLeast"/>
          <w:jc w:val="center"/>
        </w:trPr>
        <w:tc>
          <w:tcPr>
            <w:tcW w:w="115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发明专利</w:t>
            </w:r>
          </w:p>
        </w:tc>
        <w:tc>
          <w:tcPr>
            <w:tcW w:w="226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采用光谱修正的逆反射系数测量方法</w:t>
            </w:r>
          </w:p>
        </w:tc>
        <w:tc>
          <w:tcPr>
            <w:tcW w:w="709"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中国</w:t>
            </w:r>
          </w:p>
        </w:tc>
        <w:tc>
          <w:tcPr>
            <w:tcW w:w="198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ZL 201210138615.1</w:t>
            </w:r>
          </w:p>
        </w:tc>
        <w:tc>
          <w:tcPr>
            <w:tcW w:w="127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2015.05</w:t>
            </w:r>
          </w:p>
        </w:tc>
        <w:tc>
          <w:tcPr>
            <w:tcW w:w="9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1568334</w:t>
            </w:r>
          </w:p>
        </w:tc>
        <w:tc>
          <w:tcPr>
            <w:tcW w:w="26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交通运输部公路科学研究所</w:t>
            </w:r>
          </w:p>
        </w:tc>
        <w:tc>
          <w:tcPr>
            <w:tcW w:w="173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杨勇</w:t>
            </w:r>
          </w:p>
        </w:tc>
        <w:tc>
          <w:tcPr>
            <w:tcW w:w="118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24" w:hRule="atLeast"/>
          <w:jc w:val="center"/>
        </w:trPr>
        <w:tc>
          <w:tcPr>
            <w:tcW w:w="115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发明专利</w:t>
            </w:r>
          </w:p>
        </w:tc>
        <w:tc>
          <w:tcPr>
            <w:tcW w:w="226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一种护栏单元和护栏</w:t>
            </w:r>
          </w:p>
        </w:tc>
        <w:tc>
          <w:tcPr>
            <w:tcW w:w="709"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中国</w:t>
            </w:r>
          </w:p>
        </w:tc>
        <w:tc>
          <w:tcPr>
            <w:tcW w:w="198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ZL 201310342280.x</w:t>
            </w:r>
          </w:p>
        </w:tc>
        <w:tc>
          <w:tcPr>
            <w:tcW w:w="127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2016.01</w:t>
            </w:r>
          </w:p>
        </w:tc>
        <w:tc>
          <w:tcPr>
            <w:tcW w:w="9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1928500</w:t>
            </w:r>
          </w:p>
        </w:tc>
        <w:tc>
          <w:tcPr>
            <w:tcW w:w="26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交通运输部公路科学研究所</w:t>
            </w:r>
          </w:p>
        </w:tc>
        <w:tc>
          <w:tcPr>
            <w:tcW w:w="173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侯德藻</w:t>
            </w:r>
          </w:p>
        </w:tc>
        <w:tc>
          <w:tcPr>
            <w:tcW w:w="118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24" w:hRule="atLeast"/>
          <w:jc w:val="center"/>
        </w:trPr>
        <w:tc>
          <w:tcPr>
            <w:tcW w:w="115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发明专利</w:t>
            </w:r>
          </w:p>
        </w:tc>
        <w:tc>
          <w:tcPr>
            <w:tcW w:w="226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彩色反光防滑骨料及制备方法</w:t>
            </w:r>
          </w:p>
        </w:tc>
        <w:tc>
          <w:tcPr>
            <w:tcW w:w="709"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中国</w:t>
            </w:r>
          </w:p>
        </w:tc>
        <w:tc>
          <w:tcPr>
            <w:tcW w:w="198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ZL201310243736.7</w:t>
            </w:r>
          </w:p>
        </w:tc>
        <w:tc>
          <w:tcPr>
            <w:tcW w:w="127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2015.1</w:t>
            </w:r>
          </w:p>
        </w:tc>
        <w:tc>
          <w:tcPr>
            <w:tcW w:w="9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1560538</w:t>
            </w:r>
          </w:p>
        </w:tc>
        <w:tc>
          <w:tcPr>
            <w:tcW w:w="26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北京中交华安科技有限公司</w:t>
            </w:r>
          </w:p>
        </w:tc>
        <w:tc>
          <w:tcPr>
            <w:tcW w:w="173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刘恒权</w:t>
            </w:r>
          </w:p>
        </w:tc>
        <w:tc>
          <w:tcPr>
            <w:tcW w:w="118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28" w:hRule="atLeast"/>
          <w:jc w:val="center"/>
        </w:trPr>
        <w:tc>
          <w:tcPr>
            <w:tcW w:w="115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发明专利</w:t>
            </w:r>
          </w:p>
        </w:tc>
        <w:tc>
          <w:tcPr>
            <w:tcW w:w="226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一种标线涂料流动度的新型检测设备及方法</w:t>
            </w:r>
          </w:p>
        </w:tc>
        <w:tc>
          <w:tcPr>
            <w:tcW w:w="709"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中国</w:t>
            </w:r>
          </w:p>
        </w:tc>
        <w:tc>
          <w:tcPr>
            <w:tcW w:w="198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ZL201310635346.4</w:t>
            </w:r>
          </w:p>
        </w:tc>
        <w:tc>
          <w:tcPr>
            <w:tcW w:w="127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2015.1</w:t>
            </w:r>
          </w:p>
        </w:tc>
        <w:tc>
          <w:tcPr>
            <w:tcW w:w="9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1815059</w:t>
            </w:r>
          </w:p>
        </w:tc>
        <w:tc>
          <w:tcPr>
            <w:tcW w:w="26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交通运输部公路科学研究所</w:t>
            </w:r>
          </w:p>
        </w:tc>
        <w:tc>
          <w:tcPr>
            <w:tcW w:w="173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刘恒权</w:t>
            </w:r>
          </w:p>
        </w:tc>
        <w:tc>
          <w:tcPr>
            <w:tcW w:w="118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58" w:hRule="atLeast"/>
          <w:jc w:val="center"/>
        </w:trPr>
        <w:tc>
          <w:tcPr>
            <w:tcW w:w="115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发明专利</w:t>
            </w:r>
          </w:p>
        </w:tc>
        <w:tc>
          <w:tcPr>
            <w:tcW w:w="226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一种测量高折射率玻璃微珠折射率的装置及方法</w:t>
            </w:r>
          </w:p>
        </w:tc>
        <w:tc>
          <w:tcPr>
            <w:tcW w:w="709"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中国</w:t>
            </w:r>
          </w:p>
        </w:tc>
        <w:tc>
          <w:tcPr>
            <w:tcW w:w="198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ZL201110052161.1</w:t>
            </w:r>
          </w:p>
        </w:tc>
        <w:tc>
          <w:tcPr>
            <w:tcW w:w="1275"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2013.05</w:t>
            </w:r>
          </w:p>
        </w:tc>
        <w:tc>
          <w:tcPr>
            <w:tcW w:w="9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1194621</w:t>
            </w:r>
          </w:p>
        </w:tc>
        <w:tc>
          <w:tcPr>
            <w:tcW w:w="269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交通运输部公路科学研究所</w:t>
            </w:r>
          </w:p>
        </w:tc>
        <w:tc>
          <w:tcPr>
            <w:tcW w:w="1738"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刘恒权</w:t>
            </w:r>
          </w:p>
        </w:tc>
        <w:tc>
          <w:tcPr>
            <w:tcW w:w="1183" w:type="dxa"/>
            <w:vAlign w:val="center"/>
          </w:tcPr>
          <w:p>
            <w:pPr>
              <w:pStyle w:val="44"/>
              <w:spacing w:line="240" w:lineRule="auto"/>
              <w:ind w:firstLine="0" w:firstLineChars="0"/>
              <w:jc w:val="center"/>
              <w:rPr>
                <w:rFonts w:ascii="Times New Roman"/>
                <w:kern w:val="2"/>
                <w:sz w:val="18"/>
                <w:szCs w:val="18"/>
              </w:rPr>
            </w:pPr>
            <w:r>
              <w:rPr>
                <w:rFonts w:hint="eastAsia" w:ascii="Times New Roman"/>
                <w:kern w:val="2"/>
                <w:sz w:val="18"/>
                <w:szCs w:val="18"/>
              </w:rPr>
              <w:t>有效</w:t>
            </w:r>
          </w:p>
        </w:tc>
      </w:tr>
    </w:tbl>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outlineLvl w:val="0"/>
        <w:rPr>
          <w:sz w:val="24"/>
          <w:szCs w:val="24"/>
        </w:rPr>
      </w:pPr>
      <w:r>
        <w:rPr>
          <w:rFonts w:hint="eastAsia"/>
          <w:b/>
          <w:color w:val="000000"/>
          <w:sz w:val="24"/>
          <w:szCs w:val="24"/>
        </w:rPr>
        <w:t xml:space="preserve">     七、</w:t>
      </w:r>
      <w:r>
        <w:rPr>
          <w:b/>
          <w:color w:val="000000"/>
          <w:sz w:val="24"/>
          <w:szCs w:val="24"/>
        </w:rPr>
        <w:t>主要完成人</w:t>
      </w:r>
      <w:r>
        <w:rPr>
          <w:b/>
          <w:sz w:val="24"/>
          <w:szCs w:val="24"/>
        </w:rPr>
        <w:t>情况表</w:t>
      </w:r>
    </w:p>
    <w:tbl>
      <w:tblPr>
        <w:tblStyle w:val="23"/>
        <w:tblpPr w:leftFromText="180" w:rightFromText="180" w:horzAnchor="margin" w:tblpY="651"/>
        <w:tblW w:w="13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7"/>
        <w:gridCol w:w="645"/>
        <w:gridCol w:w="631"/>
        <w:gridCol w:w="1701"/>
        <w:gridCol w:w="1559"/>
        <w:gridCol w:w="722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737" w:type="dxa"/>
            <w:vAlign w:val="center"/>
          </w:tcPr>
          <w:p>
            <w:pPr>
              <w:jc w:val="center"/>
              <w:rPr>
                <w:b/>
                <w:sz w:val="18"/>
                <w:szCs w:val="18"/>
              </w:rPr>
            </w:pPr>
            <w:r>
              <w:rPr>
                <w:b/>
                <w:sz w:val="18"/>
                <w:szCs w:val="18"/>
              </w:rPr>
              <w:t>姓名</w:t>
            </w:r>
          </w:p>
        </w:tc>
        <w:tc>
          <w:tcPr>
            <w:tcW w:w="645" w:type="dxa"/>
            <w:vAlign w:val="center"/>
          </w:tcPr>
          <w:p>
            <w:pPr>
              <w:jc w:val="center"/>
              <w:rPr>
                <w:b/>
                <w:sz w:val="18"/>
                <w:szCs w:val="18"/>
              </w:rPr>
            </w:pPr>
            <w:r>
              <w:rPr>
                <w:b/>
                <w:sz w:val="18"/>
                <w:szCs w:val="18"/>
              </w:rPr>
              <w:t>排名</w:t>
            </w:r>
          </w:p>
        </w:tc>
        <w:tc>
          <w:tcPr>
            <w:tcW w:w="631" w:type="dxa"/>
            <w:vAlign w:val="center"/>
          </w:tcPr>
          <w:p>
            <w:pPr>
              <w:jc w:val="center"/>
              <w:rPr>
                <w:b/>
                <w:sz w:val="18"/>
                <w:szCs w:val="18"/>
              </w:rPr>
            </w:pPr>
            <w:r>
              <w:rPr>
                <w:b/>
                <w:sz w:val="18"/>
                <w:szCs w:val="18"/>
              </w:rPr>
              <w:t>技术职称</w:t>
            </w:r>
          </w:p>
        </w:tc>
        <w:tc>
          <w:tcPr>
            <w:tcW w:w="1701" w:type="dxa"/>
            <w:vAlign w:val="center"/>
          </w:tcPr>
          <w:p>
            <w:pPr>
              <w:jc w:val="center"/>
              <w:rPr>
                <w:b/>
                <w:sz w:val="18"/>
                <w:szCs w:val="18"/>
              </w:rPr>
            </w:pPr>
            <w:r>
              <w:rPr>
                <w:b/>
                <w:sz w:val="18"/>
                <w:szCs w:val="18"/>
              </w:rPr>
              <w:t>工作单位</w:t>
            </w:r>
          </w:p>
        </w:tc>
        <w:tc>
          <w:tcPr>
            <w:tcW w:w="1559" w:type="dxa"/>
            <w:vAlign w:val="center"/>
          </w:tcPr>
          <w:p>
            <w:pPr>
              <w:jc w:val="center"/>
              <w:rPr>
                <w:b/>
                <w:sz w:val="18"/>
                <w:szCs w:val="18"/>
              </w:rPr>
            </w:pPr>
            <w:r>
              <w:rPr>
                <w:b/>
                <w:sz w:val="18"/>
                <w:szCs w:val="18"/>
              </w:rPr>
              <w:t>完成单位</w:t>
            </w:r>
          </w:p>
        </w:tc>
        <w:tc>
          <w:tcPr>
            <w:tcW w:w="7229" w:type="dxa"/>
            <w:vAlign w:val="center"/>
          </w:tcPr>
          <w:p>
            <w:pPr>
              <w:jc w:val="center"/>
              <w:rPr>
                <w:b/>
                <w:sz w:val="18"/>
                <w:szCs w:val="18"/>
              </w:rPr>
            </w:pPr>
            <w:r>
              <w:rPr>
                <w:b/>
                <w:sz w:val="18"/>
                <w:szCs w:val="18"/>
              </w:rPr>
              <w:t>对本项目技术创造性贡献</w:t>
            </w:r>
          </w:p>
        </w:tc>
        <w:tc>
          <w:tcPr>
            <w:tcW w:w="1418" w:type="dxa"/>
            <w:vAlign w:val="center"/>
          </w:tcPr>
          <w:p>
            <w:pPr>
              <w:jc w:val="center"/>
              <w:rPr>
                <w:b/>
                <w:sz w:val="18"/>
                <w:szCs w:val="18"/>
              </w:rPr>
            </w:pPr>
            <w:r>
              <w:rPr>
                <w:b/>
                <w:sz w:val="18"/>
                <w:szCs w:val="18"/>
              </w:rPr>
              <w:t>获得国家科技奖励情况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737" w:type="dxa"/>
            <w:vAlign w:val="center"/>
          </w:tcPr>
          <w:p>
            <w:pPr>
              <w:jc w:val="center"/>
              <w:rPr>
                <w:color w:val="000000"/>
                <w:kern w:val="0"/>
                <w:sz w:val="18"/>
                <w:szCs w:val="18"/>
              </w:rPr>
            </w:pPr>
            <w:r>
              <w:rPr>
                <w:rFonts w:hint="eastAsia"/>
                <w:sz w:val="18"/>
                <w:szCs w:val="18"/>
              </w:rPr>
              <w:t>李爱民</w:t>
            </w:r>
          </w:p>
        </w:tc>
        <w:tc>
          <w:tcPr>
            <w:tcW w:w="645" w:type="dxa"/>
            <w:vAlign w:val="center"/>
          </w:tcPr>
          <w:p>
            <w:pPr>
              <w:jc w:val="center"/>
              <w:rPr>
                <w:color w:val="000000"/>
                <w:kern w:val="0"/>
                <w:sz w:val="18"/>
                <w:szCs w:val="18"/>
              </w:rPr>
            </w:pPr>
            <w:r>
              <w:rPr>
                <w:color w:val="000000"/>
                <w:kern w:val="0"/>
                <w:sz w:val="18"/>
                <w:szCs w:val="18"/>
              </w:rPr>
              <w:t>1</w:t>
            </w:r>
          </w:p>
        </w:tc>
        <w:tc>
          <w:tcPr>
            <w:tcW w:w="631" w:type="dxa"/>
            <w:vAlign w:val="center"/>
          </w:tcPr>
          <w:p>
            <w:pPr>
              <w:jc w:val="left"/>
              <w:rPr>
                <w:color w:val="000000"/>
                <w:kern w:val="0"/>
                <w:sz w:val="18"/>
                <w:szCs w:val="18"/>
              </w:rPr>
            </w:pPr>
            <w:r>
              <w:rPr>
                <w:sz w:val="18"/>
                <w:szCs w:val="18"/>
              </w:rPr>
              <w:t>正高级</w:t>
            </w:r>
          </w:p>
        </w:tc>
        <w:tc>
          <w:tcPr>
            <w:tcW w:w="1701" w:type="dxa"/>
            <w:vAlign w:val="center"/>
          </w:tcPr>
          <w:p>
            <w:pPr>
              <w:jc w:val="center"/>
              <w:rPr>
                <w:color w:val="000000"/>
                <w:kern w:val="0"/>
                <w:sz w:val="18"/>
                <w:szCs w:val="18"/>
              </w:rPr>
            </w:pPr>
            <w:r>
              <w:rPr>
                <w:sz w:val="18"/>
                <w:szCs w:val="18"/>
              </w:rPr>
              <w:t>交通运输部公路科学研究所</w:t>
            </w:r>
          </w:p>
        </w:tc>
        <w:tc>
          <w:tcPr>
            <w:tcW w:w="1559" w:type="dxa"/>
            <w:vAlign w:val="center"/>
          </w:tcPr>
          <w:p>
            <w:pPr>
              <w:jc w:val="center"/>
              <w:rPr>
                <w:color w:val="000000"/>
                <w:kern w:val="0"/>
                <w:sz w:val="18"/>
                <w:szCs w:val="18"/>
              </w:rPr>
            </w:pPr>
            <w:r>
              <w:rPr>
                <w:sz w:val="18"/>
                <w:szCs w:val="18"/>
              </w:rPr>
              <w:t>交通运输部公路科学研究所</w:t>
            </w:r>
          </w:p>
        </w:tc>
        <w:tc>
          <w:tcPr>
            <w:tcW w:w="7229" w:type="dxa"/>
          </w:tcPr>
          <w:p>
            <w:pPr>
              <w:jc w:val="left"/>
              <w:rPr>
                <w:color w:val="000000"/>
                <w:kern w:val="0"/>
                <w:sz w:val="18"/>
                <w:szCs w:val="18"/>
              </w:rPr>
            </w:pPr>
            <w:r>
              <w:rPr>
                <w:rFonts w:hint="eastAsia"/>
                <w:color w:val="000000"/>
                <w:kern w:val="0"/>
                <w:sz w:val="18"/>
                <w:szCs w:val="18"/>
              </w:rPr>
              <w:t>1.项目研究总负责人，负责国家科技支撑计划《山区公路网安全保障技术体系研究与工程示范》的立项、研究方案、实施技术路线和创新目标的制定，总体负责项目的组织实施与协调。</w:t>
            </w:r>
          </w:p>
          <w:p>
            <w:pPr>
              <w:jc w:val="left"/>
              <w:rPr>
                <w:color w:val="000000"/>
                <w:kern w:val="0"/>
                <w:sz w:val="18"/>
                <w:szCs w:val="18"/>
              </w:rPr>
            </w:pPr>
            <w:r>
              <w:rPr>
                <w:rFonts w:hint="eastAsia"/>
                <w:color w:val="000000"/>
                <w:kern w:val="0"/>
                <w:sz w:val="18"/>
                <w:szCs w:val="18"/>
              </w:rPr>
              <w:t>2.负责研究基于运行速度和驾驶工作负荷度双指标控制的路线安全评价方法，提出了基于车辆碰撞能量谱的护栏可靠性设计方法，攻克了我国车辆-护栏碰撞精细化仿真模拟技术。3.负责编制行业标准规范JTG D81-2006《公路交通安全设施设计规范》、JTG/T D81-2006《公路交通安全设施设计细则》，成果纳入交通运输部2012年第3号公告《公路网运行监测与服务暂行技术要求》，编著《山区高速公路安全设计指南》等多部专著。4.对创新成果3.1中的（3）和（4）以及创新成果3.3中的（1）和（2）做出了贡献。</w:t>
            </w:r>
          </w:p>
        </w:tc>
        <w:tc>
          <w:tcPr>
            <w:tcW w:w="1418" w:type="dxa"/>
            <w:vAlign w:val="center"/>
          </w:tcPr>
          <w:p>
            <w:pPr>
              <w:rPr>
                <w:color w:val="000000"/>
                <w:kern w:val="0"/>
                <w:sz w:val="18"/>
                <w:szCs w:val="18"/>
              </w:rPr>
            </w:pPr>
            <w:r>
              <w:rPr>
                <w:rFonts w:hint="eastAsia"/>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737" w:type="dxa"/>
            <w:vAlign w:val="center"/>
          </w:tcPr>
          <w:p>
            <w:pPr>
              <w:jc w:val="center"/>
              <w:rPr>
                <w:sz w:val="18"/>
                <w:szCs w:val="18"/>
              </w:rPr>
            </w:pPr>
            <w:r>
              <w:rPr>
                <w:rFonts w:hint="eastAsia"/>
                <w:sz w:val="18"/>
                <w:szCs w:val="18"/>
              </w:rPr>
              <w:t>何勇</w:t>
            </w:r>
          </w:p>
        </w:tc>
        <w:tc>
          <w:tcPr>
            <w:tcW w:w="645" w:type="dxa"/>
            <w:vAlign w:val="center"/>
          </w:tcPr>
          <w:p>
            <w:pPr>
              <w:jc w:val="center"/>
              <w:rPr>
                <w:color w:val="000000"/>
                <w:kern w:val="0"/>
                <w:sz w:val="18"/>
                <w:szCs w:val="18"/>
              </w:rPr>
            </w:pPr>
            <w:r>
              <w:rPr>
                <w:color w:val="000000"/>
                <w:kern w:val="0"/>
                <w:sz w:val="18"/>
                <w:szCs w:val="18"/>
              </w:rPr>
              <w:t>2</w:t>
            </w:r>
          </w:p>
        </w:tc>
        <w:tc>
          <w:tcPr>
            <w:tcW w:w="631" w:type="dxa"/>
            <w:vAlign w:val="center"/>
          </w:tcPr>
          <w:p>
            <w:pPr>
              <w:jc w:val="left"/>
              <w:rPr>
                <w:sz w:val="18"/>
                <w:szCs w:val="18"/>
              </w:rPr>
            </w:pPr>
            <w:r>
              <w:rPr>
                <w:sz w:val="18"/>
                <w:szCs w:val="18"/>
              </w:rPr>
              <w:t>正高级</w:t>
            </w:r>
          </w:p>
        </w:tc>
        <w:tc>
          <w:tcPr>
            <w:tcW w:w="1701" w:type="dxa"/>
            <w:vAlign w:val="center"/>
          </w:tcPr>
          <w:p>
            <w:pPr>
              <w:jc w:val="center"/>
              <w:rPr>
                <w:color w:val="000000"/>
                <w:kern w:val="0"/>
                <w:sz w:val="18"/>
                <w:szCs w:val="18"/>
              </w:rPr>
            </w:pPr>
            <w:r>
              <w:rPr>
                <w:sz w:val="18"/>
                <w:szCs w:val="18"/>
              </w:rPr>
              <w:t>交通运输部公路科学研究所</w:t>
            </w:r>
          </w:p>
        </w:tc>
        <w:tc>
          <w:tcPr>
            <w:tcW w:w="1559" w:type="dxa"/>
            <w:vAlign w:val="center"/>
          </w:tcPr>
          <w:p>
            <w:pPr>
              <w:jc w:val="center"/>
              <w:rPr>
                <w:color w:val="000000"/>
                <w:kern w:val="0"/>
                <w:sz w:val="18"/>
                <w:szCs w:val="18"/>
              </w:rPr>
            </w:pPr>
            <w:r>
              <w:rPr>
                <w:sz w:val="18"/>
                <w:szCs w:val="18"/>
              </w:rPr>
              <w:t>交通运输部公路科学研究所</w:t>
            </w:r>
          </w:p>
        </w:tc>
        <w:tc>
          <w:tcPr>
            <w:tcW w:w="7229" w:type="dxa"/>
          </w:tcPr>
          <w:p>
            <w:pPr>
              <w:jc w:val="left"/>
              <w:rPr>
                <w:sz w:val="18"/>
                <w:szCs w:val="18"/>
              </w:rPr>
            </w:pPr>
            <w:r>
              <w:rPr>
                <w:rFonts w:hint="eastAsia"/>
                <w:sz w:val="18"/>
                <w:szCs w:val="18"/>
              </w:rPr>
              <w:t>1.负责研究建立了路侧安全等级与护栏防护等级的对应关系和护栏设置方法。成果纳入行业规范《公路交通安全设施设计规范》；2.编著《道路交通安全技术》、《双车道公路交通安全设施设置技术》、《公路连续长大下坡安全处置技术》、《道路交通安全评价》和《公路安全保障工程实施技术指南解析》等多部专著。3.对创新成果3.1中的（1）和（2）以及创新成果3.3中的（1）和（2）做出了贡献。</w:t>
            </w:r>
          </w:p>
        </w:tc>
        <w:tc>
          <w:tcPr>
            <w:tcW w:w="1418" w:type="dxa"/>
            <w:vAlign w:val="center"/>
          </w:tcPr>
          <w:p>
            <w:pPr>
              <w:rPr>
                <w:sz w:val="18"/>
                <w:szCs w:val="18"/>
              </w:rPr>
            </w:pPr>
            <w:r>
              <w:rPr>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7" w:type="dxa"/>
            <w:vAlign w:val="center"/>
          </w:tcPr>
          <w:p>
            <w:pPr>
              <w:jc w:val="center"/>
              <w:rPr>
                <w:sz w:val="18"/>
                <w:szCs w:val="18"/>
              </w:rPr>
            </w:pPr>
            <w:r>
              <w:rPr>
                <w:rFonts w:hint="eastAsia"/>
                <w:sz w:val="18"/>
                <w:szCs w:val="18"/>
              </w:rPr>
              <w:t>唐琤琤</w:t>
            </w:r>
          </w:p>
        </w:tc>
        <w:tc>
          <w:tcPr>
            <w:tcW w:w="645" w:type="dxa"/>
            <w:vAlign w:val="center"/>
          </w:tcPr>
          <w:p>
            <w:pPr>
              <w:jc w:val="center"/>
              <w:rPr>
                <w:color w:val="000000"/>
                <w:kern w:val="0"/>
                <w:sz w:val="18"/>
                <w:szCs w:val="18"/>
              </w:rPr>
            </w:pPr>
            <w:r>
              <w:rPr>
                <w:color w:val="000000"/>
                <w:kern w:val="0"/>
                <w:sz w:val="18"/>
                <w:szCs w:val="18"/>
              </w:rPr>
              <w:t>3</w:t>
            </w:r>
          </w:p>
        </w:tc>
        <w:tc>
          <w:tcPr>
            <w:tcW w:w="631" w:type="dxa"/>
            <w:vAlign w:val="center"/>
          </w:tcPr>
          <w:p>
            <w:pPr>
              <w:jc w:val="left"/>
              <w:rPr>
                <w:sz w:val="18"/>
                <w:szCs w:val="18"/>
              </w:rPr>
            </w:pPr>
            <w:r>
              <w:rPr>
                <w:sz w:val="18"/>
                <w:szCs w:val="18"/>
              </w:rPr>
              <w:t>正高级</w:t>
            </w:r>
          </w:p>
        </w:tc>
        <w:tc>
          <w:tcPr>
            <w:tcW w:w="1701" w:type="dxa"/>
            <w:vAlign w:val="center"/>
          </w:tcPr>
          <w:p>
            <w:pPr>
              <w:jc w:val="center"/>
              <w:rPr>
                <w:color w:val="000000"/>
                <w:kern w:val="0"/>
                <w:sz w:val="18"/>
                <w:szCs w:val="18"/>
              </w:rPr>
            </w:pPr>
            <w:r>
              <w:rPr>
                <w:sz w:val="18"/>
                <w:szCs w:val="18"/>
              </w:rPr>
              <w:t>交通运输部公路科学研究所</w:t>
            </w:r>
          </w:p>
        </w:tc>
        <w:tc>
          <w:tcPr>
            <w:tcW w:w="1559" w:type="dxa"/>
            <w:vAlign w:val="center"/>
          </w:tcPr>
          <w:p>
            <w:pPr>
              <w:jc w:val="center"/>
              <w:rPr>
                <w:color w:val="000000"/>
                <w:kern w:val="0"/>
                <w:sz w:val="18"/>
                <w:szCs w:val="18"/>
              </w:rPr>
            </w:pPr>
            <w:r>
              <w:rPr>
                <w:sz w:val="18"/>
                <w:szCs w:val="18"/>
              </w:rPr>
              <w:t>交通运输部公路科学研究所</w:t>
            </w:r>
          </w:p>
        </w:tc>
        <w:tc>
          <w:tcPr>
            <w:tcW w:w="7229" w:type="dxa"/>
          </w:tcPr>
          <w:p>
            <w:pPr>
              <w:jc w:val="left"/>
              <w:rPr>
                <w:sz w:val="18"/>
                <w:szCs w:val="18"/>
              </w:rPr>
            </w:pPr>
            <w:r>
              <w:rPr>
                <w:rFonts w:hint="eastAsia"/>
                <w:sz w:val="18"/>
                <w:szCs w:val="18"/>
              </w:rPr>
              <w:t>1.项目主要参加人。负责高速公路、一级公路和双车道公路数据采集、分析、建模工作，提出了事故多发段判别方法，建立基于线形、交通、路侧环境等信息的LOGIT事故预测模型，适用于设计阶段、运营阶段的公路安全评价。著有《公路交通安全评价》、《道路交通安全手册》专著；2.负责道路交通标志和标线研究，提出指路标志信息分层及选取方法，提出“预告、指示、确认”三级标志设置方法，参编国家标准《道路交通标志和标线》，著有《道路交通标志和标线手册》专著；3.对创新成果3.1中的（1）和（2）以及创新成果3.2中的2）做出了贡献（附件论文、论著、标准规范）。</w:t>
            </w:r>
          </w:p>
        </w:tc>
        <w:tc>
          <w:tcPr>
            <w:tcW w:w="1418" w:type="dxa"/>
            <w:vAlign w:val="center"/>
          </w:tcPr>
          <w:p>
            <w:pPr>
              <w:rPr>
                <w:sz w:val="18"/>
                <w:szCs w:val="18"/>
              </w:rPr>
            </w:pPr>
            <w:r>
              <w:rPr>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737" w:type="dxa"/>
            <w:vAlign w:val="center"/>
          </w:tcPr>
          <w:p>
            <w:pPr>
              <w:jc w:val="center"/>
              <w:rPr>
                <w:sz w:val="18"/>
                <w:szCs w:val="18"/>
              </w:rPr>
            </w:pPr>
            <w:r>
              <w:rPr>
                <w:rFonts w:hint="eastAsia"/>
                <w:sz w:val="18"/>
                <w:szCs w:val="18"/>
              </w:rPr>
              <w:t>周海涛</w:t>
            </w:r>
          </w:p>
        </w:tc>
        <w:tc>
          <w:tcPr>
            <w:tcW w:w="645" w:type="dxa"/>
            <w:vAlign w:val="center"/>
          </w:tcPr>
          <w:p>
            <w:pPr>
              <w:jc w:val="center"/>
              <w:rPr>
                <w:color w:val="000000"/>
                <w:kern w:val="0"/>
                <w:sz w:val="18"/>
                <w:szCs w:val="18"/>
              </w:rPr>
            </w:pPr>
            <w:r>
              <w:rPr>
                <w:color w:val="000000"/>
                <w:kern w:val="0"/>
                <w:sz w:val="18"/>
                <w:szCs w:val="18"/>
              </w:rPr>
              <w:t>4</w:t>
            </w:r>
          </w:p>
        </w:tc>
        <w:tc>
          <w:tcPr>
            <w:tcW w:w="631" w:type="dxa"/>
            <w:vAlign w:val="center"/>
          </w:tcPr>
          <w:p>
            <w:pPr>
              <w:jc w:val="left"/>
              <w:rPr>
                <w:sz w:val="18"/>
                <w:szCs w:val="18"/>
              </w:rPr>
            </w:pPr>
            <w:r>
              <w:rPr>
                <w:sz w:val="18"/>
                <w:szCs w:val="18"/>
              </w:rPr>
              <w:t>正高级</w:t>
            </w:r>
          </w:p>
        </w:tc>
        <w:tc>
          <w:tcPr>
            <w:tcW w:w="1701" w:type="dxa"/>
            <w:vAlign w:val="center"/>
          </w:tcPr>
          <w:p>
            <w:pPr>
              <w:jc w:val="center"/>
              <w:rPr>
                <w:sz w:val="18"/>
                <w:szCs w:val="18"/>
              </w:rPr>
            </w:pPr>
            <w:r>
              <w:rPr>
                <w:sz w:val="18"/>
                <w:szCs w:val="18"/>
              </w:rPr>
              <w:t>交通运输部</w:t>
            </w:r>
          </w:p>
        </w:tc>
        <w:tc>
          <w:tcPr>
            <w:tcW w:w="1559" w:type="dxa"/>
            <w:vAlign w:val="center"/>
          </w:tcPr>
          <w:p>
            <w:pPr>
              <w:jc w:val="center"/>
              <w:rPr>
                <w:sz w:val="18"/>
                <w:szCs w:val="18"/>
              </w:rPr>
            </w:pPr>
            <w:r>
              <w:rPr>
                <w:rFonts w:hint="eastAsia"/>
                <w:sz w:val="18"/>
                <w:szCs w:val="18"/>
              </w:rPr>
              <w:t>华杰工程咨询有限公司</w:t>
            </w:r>
          </w:p>
        </w:tc>
        <w:tc>
          <w:tcPr>
            <w:tcW w:w="7229" w:type="dxa"/>
          </w:tcPr>
          <w:p>
            <w:pPr>
              <w:jc w:val="left"/>
              <w:rPr>
                <w:sz w:val="18"/>
                <w:szCs w:val="18"/>
              </w:rPr>
            </w:pPr>
            <w:r>
              <w:rPr>
                <w:rFonts w:hint="eastAsia"/>
                <w:sz w:val="18"/>
                <w:szCs w:val="18"/>
              </w:rPr>
              <w:t>1.项目主要负责人，首次提出了基于公路运行速度变化特征的路线线形协调性多指标评价体系和评价方法，对成果一中的第2和第3创新点作出了显著贡献，负责编制了《公路项目安全性评价指南》（JTG/T B05-2004）标准规范一部；2.对创新成果3.2做出了贡献。</w:t>
            </w:r>
          </w:p>
        </w:tc>
        <w:tc>
          <w:tcPr>
            <w:tcW w:w="1418" w:type="dxa"/>
            <w:vAlign w:val="center"/>
          </w:tcPr>
          <w:p>
            <w:pPr>
              <w:rPr>
                <w:sz w:val="18"/>
                <w:szCs w:val="18"/>
              </w:rPr>
            </w:pPr>
            <w:r>
              <w:rPr>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737" w:type="dxa"/>
            <w:vAlign w:val="center"/>
          </w:tcPr>
          <w:p>
            <w:pPr>
              <w:jc w:val="center"/>
              <w:rPr>
                <w:sz w:val="18"/>
                <w:szCs w:val="18"/>
              </w:rPr>
            </w:pPr>
            <w:r>
              <w:rPr>
                <w:rFonts w:hint="eastAsia"/>
                <w:sz w:val="18"/>
                <w:szCs w:val="18"/>
              </w:rPr>
              <w:t>高海龙</w:t>
            </w:r>
          </w:p>
        </w:tc>
        <w:tc>
          <w:tcPr>
            <w:tcW w:w="645" w:type="dxa"/>
            <w:vAlign w:val="center"/>
          </w:tcPr>
          <w:p>
            <w:pPr>
              <w:jc w:val="center"/>
              <w:rPr>
                <w:color w:val="000000"/>
                <w:kern w:val="0"/>
                <w:sz w:val="18"/>
                <w:szCs w:val="18"/>
              </w:rPr>
            </w:pPr>
            <w:r>
              <w:rPr>
                <w:color w:val="000000"/>
                <w:kern w:val="0"/>
                <w:sz w:val="18"/>
                <w:szCs w:val="18"/>
              </w:rPr>
              <w:t>5</w:t>
            </w:r>
          </w:p>
        </w:tc>
        <w:tc>
          <w:tcPr>
            <w:tcW w:w="631" w:type="dxa"/>
            <w:vAlign w:val="center"/>
          </w:tcPr>
          <w:p>
            <w:pPr>
              <w:jc w:val="left"/>
              <w:rPr>
                <w:sz w:val="18"/>
                <w:szCs w:val="18"/>
              </w:rPr>
            </w:pPr>
            <w:r>
              <w:rPr>
                <w:rFonts w:hint="eastAsia"/>
                <w:sz w:val="18"/>
                <w:szCs w:val="18"/>
              </w:rPr>
              <w:t>正</w:t>
            </w:r>
            <w:r>
              <w:rPr>
                <w:sz w:val="18"/>
                <w:szCs w:val="18"/>
              </w:rPr>
              <w:t>高级</w:t>
            </w:r>
          </w:p>
        </w:tc>
        <w:tc>
          <w:tcPr>
            <w:tcW w:w="1701" w:type="dxa"/>
            <w:vAlign w:val="center"/>
          </w:tcPr>
          <w:p>
            <w:pPr>
              <w:jc w:val="center"/>
              <w:rPr>
                <w:sz w:val="18"/>
                <w:szCs w:val="18"/>
              </w:rPr>
            </w:pPr>
            <w:r>
              <w:rPr>
                <w:rFonts w:hint="eastAsia"/>
                <w:sz w:val="18"/>
                <w:szCs w:val="18"/>
              </w:rPr>
              <w:t>北京交科公路勘察设计研究院有限公司</w:t>
            </w:r>
          </w:p>
        </w:tc>
        <w:tc>
          <w:tcPr>
            <w:tcW w:w="1559" w:type="dxa"/>
            <w:vAlign w:val="center"/>
          </w:tcPr>
          <w:p>
            <w:pPr>
              <w:jc w:val="center"/>
              <w:rPr>
                <w:sz w:val="18"/>
                <w:szCs w:val="18"/>
              </w:rPr>
            </w:pPr>
            <w:r>
              <w:rPr>
                <w:sz w:val="18"/>
                <w:szCs w:val="18"/>
              </w:rPr>
              <w:t>交通运输部公路科学研究所</w:t>
            </w:r>
          </w:p>
        </w:tc>
        <w:tc>
          <w:tcPr>
            <w:tcW w:w="7229" w:type="dxa"/>
          </w:tcPr>
          <w:p>
            <w:pPr>
              <w:jc w:val="left"/>
              <w:rPr>
                <w:sz w:val="18"/>
                <w:szCs w:val="18"/>
              </w:rPr>
            </w:pPr>
            <w:r>
              <w:rPr>
                <w:rFonts w:hint="eastAsia"/>
                <w:sz w:val="18"/>
                <w:szCs w:val="18"/>
              </w:rPr>
              <w:t>1.项目主要参与人，主要负责公路路侧安全评估及防护方法研究，以宽容性理念为指导，建立了路线线形、交通量、运行速度和路侧条件等多因素路侧安全等级评估方法和路侧安全度分级标准，提出了护栏设置新方法和路侧事故主动预防技术对策；</w:t>
            </w:r>
          </w:p>
          <w:p>
            <w:pPr>
              <w:jc w:val="left"/>
              <w:rPr>
                <w:sz w:val="18"/>
                <w:szCs w:val="18"/>
              </w:rPr>
            </w:pPr>
            <w:r>
              <w:rPr>
                <w:rFonts w:hint="eastAsia"/>
                <w:sz w:val="18"/>
                <w:szCs w:val="18"/>
              </w:rPr>
              <w:t>2.对创新成果3.1中的（1）做出了贡献。</w:t>
            </w:r>
          </w:p>
        </w:tc>
        <w:tc>
          <w:tcPr>
            <w:tcW w:w="1418" w:type="dxa"/>
            <w:vAlign w:val="center"/>
          </w:tcPr>
          <w:p>
            <w:pPr>
              <w:rPr>
                <w:sz w:val="18"/>
                <w:szCs w:val="18"/>
              </w:rPr>
            </w:pPr>
            <w:r>
              <w:rPr>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737" w:type="dxa"/>
            <w:vAlign w:val="center"/>
          </w:tcPr>
          <w:p>
            <w:pPr>
              <w:jc w:val="center"/>
              <w:rPr>
                <w:sz w:val="18"/>
                <w:szCs w:val="18"/>
              </w:rPr>
            </w:pPr>
            <w:r>
              <w:rPr>
                <w:rFonts w:hint="eastAsia"/>
                <w:sz w:val="18"/>
                <w:szCs w:val="18"/>
              </w:rPr>
              <w:t>张高强</w:t>
            </w:r>
          </w:p>
        </w:tc>
        <w:tc>
          <w:tcPr>
            <w:tcW w:w="645" w:type="dxa"/>
            <w:vAlign w:val="center"/>
          </w:tcPr>
          <w:p>
            <w:pPr>
              <w:jc w:val="center"/>
              <w:rPr>
                <w:sz w:val="18"/>
                <w:szCs w:val="18"/>
              </w:rPr>
            </w:pPr>
            <w:r>
              <w:rPr>
                <w:sz w:val="18"/>
                <w:szCs w:val="18"/>
              </w:rPr>
              <w:t>6</w:t>
            </w:r>
          </w:p>
        </w:tc>
        <w:tc>
          <w:tcPr>
            <w:tcW w:w="631" w:type="dxa"/>
            <w:vAlign w:val="center"/>
          </w:tcPr>
          <w:p>
            <w:pPr>
              <w:jc w:val="left"/>
              <w:rPr>
                <w:sz w:val="18"/>
                <w:szCs w:val="18"/>
              </w:rPr>
            </w:pPr>
            <w:r>
              <w:rPr>
                <w:sz w:val="18"/>
                <w:szCs w:val="18"/>
              </w:rPr>
              <w:t>正高级</w:t>
            </w:r>
          </w:p>
        </w:tc>
        <w:tc>
          <w:tcPr>
            <w:tcW w:w="1701" w:type="dxa"/>
            <w:vAlign w:val="center"/>
          </w:tcPr>
          <w:p>
            <w:pPr>
              <w:jc w:val="center"/>
              <w:rPr>
                <w:color w:val="000000"/>
                <w:kern w:val="0"/>
                <w:sz w:val="18"/>
                <w:szCs w:val="18"/>
              </w:rPr>
            </w:pPr>
            <w:r>
              <w:rPr>
                <w:sz w:val="18"/>
                <w:szCs w:val="18"/>
              </w:rPr>
              <w:t>交通运输部公路科学研究所</w:t>
            </w:r>
          </w:p>
        </w:tc>
        <w:tc>
          <w:tcPr>
            <w:tcW w:w="1559" w:type="dxa"/>
            <w:vAlign w:val="center"/>
          </w:tcPr>
          <w:p>
            <w:pPr>
              <w:jc w:val="center"/>
              <w:rPr>
                <w:color w:val="000000"/>
                <w:kern w:val="0"/>
                <w:sz w:val="18"/>
                <w:szCs w:val="18"/>
              </w:rPr>
            </w:pPr>
            <w:r>
              <w:rPr>
                <w:sz w:val="18"/>
                <w:szCs w:val="18"/>
              </w:rPr>
              <w:t>交通运输部公路科学研究所</w:t>
            </w:r>
          </w:p>
        </w:tc>
        <w:tc>
          <w:tcPr>
            <w:tcW w:w="7229" w:type="dxa"/>
          </w:tcPr>
          <w:p>
            <w:pPr>
              <w:jc w:val="left"/>
              <w:rPr>
                <w:sz w:val="18"/>
                <w:szCs w:val="18"/>
              </w:rPr>
            </w:pPr>
            <w:r>
              <w:rPr>
                <w:rFonts w:hint="eastAsia"/>
                <w:sz w:val="18"/>
                <w:szCs w:val="18"/>
              </w:rPr>
              <w:t>1.项目专题负责人，主要研究创建了公路交通安全数据体系与标准，开发了开放式公路安全数据分析平台；2.负责护栏立柱埋深无损检测设备的研制和开发，获得2项发明专利（ZL200610003437.6和ZL200810240908.4）；3.负责开发研制了适合我国公路路侧危险状况的新型公路安全防护设施，编著《公路护栏立柱埋深冲击弹性波检测技术》专著一部；4.对创新成果3.3中的（1）和（3）做出了贡献。</w:t>
            </w:r>
          </w:p>
        </w:tc>
        <w:tc>
          <w:tcPr>
            <w:tcW w:w="1418"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7" w:type="dxa"/>
            <w:vAlign w:val="center"/>
          </w:tcPr>
          <w:p>
            <w:pPr>
              <w:jc w:val="center"/>
              <w:rPr>
                <w:sz w:val="18"/>
                <w:szCs w:val="18"/>
              </w:rPr>
            </w:pPr>
            <w:r>
              <w:rPr>
                <w:rFonts w:hint="eastAsia"/>
                <w:sz w:val="18"/>
                <w:szCs w:val="18"/>
              </w:rPr>
              <w:t>侯德藻</w:t>
            </w:r>
          </w:p>
        </w:tc>
        <w:tc>
          <w:tcPr>
            <w:tcW w:w="645" w:type="dxa"/>
            <w:vAlign w:val="center"/>
          </w:tcPr>
          <w:p>
            <w:pPr>
              <w:jc w:val="center"/>
              <w:rPr>
                <w:sz w:val="18"/>
                <w:szCs w:val="18"/>
              </w:rPr>
            </w:pPr>
            <w:r>
              <w:rPr>
                <w:sz w:val="18"/>
                <w:szCs w:val="18"/>
              </w:rPr>
              <w:t>7</w:t>
            </w:r>
          </w:p>
        </w:tc>
        <w:tc>
          <w:tcPr>
            <w:tcW w:w="631" w:type="dxa"/>
            <w:vAlign w:val="center"/>
          </w:tcPr>
          <w:p>
            <w:pPr>
              <w:jc w:val="left"/>
              <w:rPr>
                <w:sz w:val="18"/>
                <w:szCs w:val="18"/>
              </w:rPr>
            </w:pPr>
            <w:r>
              <w:rPr>
                <w:sz w:val="18"/>
                <w:szCs w:val="18"/>
              </w:rPr>
              <w:t>正高级</w:t>
            </w:r>
          </w:p>
        </w:tc>
        <w:tc>
          <w:tcPr>
            <w:tcW w:w="1701" w:type="dxa"/>
            <w:vAlign w:val="center"/>
          </w:tcPr>
          <w:p>
            <w:pPr>
              <w:jc w:val="center"/>
              <w:rPr>
                <w:color w:val="000000"/>
                <w:kern w:val="0"/>
                <w:sz w:val="18"/>
                <w:szCs w:val="18"/>
              </w:rPr>
            </w:pPr>
            <w:r>
              <w:rPr>
                <w:sz w:val="18"/>
                <w:szCs w:val="18"/>
              </w:rPr>
              <w:t>交通运输部公路科学研究所</w:t>
            </w:r>
          </w:p>
        </w:tc>
        <w:tc>
          <w:tcPr>
            <w:tcW w:w="1559" w:type="dxa"/>
            <w:vAlign w:val="center"/>
          </w:tcPr>
          <w:p>
            <w:pPr>
              <w:jc w:val="center"/>
              <w:rPr>
                <w:color w:val="000000"/>
                <w:kern w:val="0"/>
                <w:sz w:val="18"/>
                <w:szCs w:val="18"/>
              </w:rPr>
            </w:pPr>
            <w:r>
              <w:rPr>
                <w:sz w:val="18"/>
                <w:szCs w:val="18"/>
              </w:rPr>
              <w:t>交通运输部公路科学研究所</w:t>
            </w:r>
          </w:p>
        </w:tc>
        <w:tc>
          <w:tcPr>
            <w:tcW w:w="7229" w:type="dxa"/>
          </w:tcPr>
          <w:p>
            <w:pPr>
              <w:jc w:val="left"/>
              <w:rPr>
                <w:sz w:val="18"/>
                <w:szCs w:val="18"/>
              </w:rPr>
            </w:pPr>
            <w:r>
              <w:rPr>
                <w:rFonts w:hint="eastAsia"/>
                <w:sz w:val="18"/>
                <w:szCs w:val="18"/>
              </w:rPr>
              <w:t>1.建立了汉字字高认知模型；建立了有限元模拟、摆锤碰撞和实车足尺试验一体化的护栏试验检测体系；2.负责开发了活动护栏等具有自主知识产权的多种安全护栏。参加安全保障工程实施的技术咨询；3.对创新成果3.3中的（1）做出了贡献。</w:t>
            </w:r>
          </w:p>
        </w:tc>
        <w:tc>
          <w:tcPr>
            <w:tcW w:w="1418" w:type="dxa"/>
            <w:vAlign w:val="center"/>
          </w:tcPr>
          <w:p>
            <w:pPr>
              <w:rPr>
                <w:sz w:val="18"/>
                <w:szCs w:val="18"/>
              </w:rPr>
            </w:pPr>
            <w:r>
              <w:rPr>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737" w:type="dxa"/>
            <w:vAlign w:val="center"/>
          </w:tcPr>
          <w:p>
            <w:pPr>
              <w:jc w:val="center"/>
              <w:rPr>
                <w:sz w:val="18"/>
                <w:szCs w:val="18"/>
              </w:rPr>
            </w:pPr>
            <w:r>
              <w:rPr>
                <w:rFonts w:hint="eastAsia"/>
                <w:sz w:val="18"/>
                <w:szCs w:val="18"/>
              </w:rPr>
              <w:t>刘会学</w:t>
            </w:r>
          </w:p>
        </w:tc>
        <w:tc>
          <w:tcPr>
            <w:tcW w:w="645" w:type="dxa"/>
            <w:vAlign w:val="center"/>
          </w:tcPr>
          <w:p>
            <w:pPr>
              <w:jc w:val="center"/>
              <w:rPr>
                <w:sz w:val="18"/>
                <w:szCs w:val="18"/>
              </w:rPr>
            </w:pPr>
            <w:r>
              <w:rPr>
                <w:sz w:val="18"/>
                <w:szCs w:val="18"/>
              </w:rPr>
              <w:t>8</w:t>
            </w:r>
          </w:p>
        </w:tc>
        <w:tc>
          <w:tcPr>
            <w:tcW w:w="631" w:type="dxa"/>
            <w:vAlign w:val="center"/>
          </w:tcPr>
          <w:p>
            <w:pPr>
              <w:jc w:val="left"/>
              <w:rPr>
                <w:sz w:val="18"/>
                <w:szCs w:val="18"/>
              </w:rPr>
            </w:pPr>
            <w:r>
              <w:rPr>
                <w:sz w:val="18"/>
                <w:szCs w:val="18"/>
              </w:rPr>
              <w:t>正高级</w:t>
            </w:r>
          </w:p>
        </w:tc>
        <w:tc>
          <w:tcPr>
            <w:tcW w:w="1701" w:type="dxa"/>
            <w:vAlign w:val="center"/>
          </w:tcPr>
          <w:p>
            <w:pPr>
              <w:jc w:val="center"/>
              <w:rPr>
                <w:sz w:val="18"/>
                <w:szCs w:val="18"/>
              </w:rPr>
            </w:pPr>
            <w:r>
              <w:rPr>
                <w:rFonts w:hint="eastAsia"/>
                <w:sz w:val="18"/>
                <w:szCs w:val="18"/>
              </w:rPr>
              <w:t>北京交科公路勘察设计研究院有限公司</w:t>
            </w:r>
          </w:p>
        </w:tc>
        <w:tc>
          <w:tcPr>
            <w:tcW w:w="1559" w:type="dxa"/>
            <w:vAlign w:val="center"/>
          </w:tcPr>
          <w:p>
            <w:pPr>
              <w:jc w:val="center"/>
              <w:rPr>
                <w:sz w:val="18"/>
                <w:szCs w:val="18"/>
              </w:rPr>
            </w:pPr>
            <w:r>
              <w:rPr>
                <w:rFonts w:hint="eastAsia"/>
                <w:sz w:val="18"/>
                <w:szCs w:val="18"/>
              </w:rPr>
              <w:t>北京交科公路勘察设计研究院有限公司</w:t>
            </w:r>
          </w:p>
        </w:tc>
        <w:tc>
          <w:tcPr>
            <w:tcW w:w="7229" w:type="dxa"/>
          </w:tcPr>
          <w:p>
            <w:pPr>
              <w:jc w:val="left"/>
              <w:rPr>
                <w:sz w:val="18"/>
                <w:szCs w:val="18"/>
              </w:rPr>
            </w:pPr>
            <w:r>
              <w:rPr>
                <w:rFonts w:hint="eastAsia"/>
                <w:sz w:val="18"/>
                <w:szCs w:val="18"/>
              </w:rPr>
              <w:t>《国家高速公路网指路体系的研究与应用》项目负责人，负责项目研究的日常管理和协调工作。具体负责国家高速公路网指路体系关键技术的研究工作，主编了《国家高速公路网相关标志更换工作实施技术指南》（交通部2007年第30号公告）、《公路交通标志和标线设置规范》（JTG D82-2009）和《公路交通标志和标线设置手册》，参与了国家高速公路网命名和编号的方案研究、规则制定及国家标准《道路交通标志和标线》（GB5768-2009）的修订工作，总体负责了相关示范工程的方案研究和设计工作。</w:t>
            </w:r>
          </w:p>
        </w:tc>
        <w:tc>
          <w:tcPr>
            <w:tcW w:w="1418" w:type="dxa"/>
            <w:vAlign w:val="center"/>
          </w:tcPr>
          <w:p>
            <w:pPr>
              <w:rPr>
                <w:sz w:val="18"/>
                <w:szCs w:val="18"/>
              </w:rPr>
            </w:pPr>
            <w:r>
              <w:rPr>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737" w:type="dxa"/>
            <w:vAlign w:val="center"/>
          </w:tcPr>
          <w:p>
            <w:pPr>
              <w:jc w:val="center"/>
              <w:rPr>
                <w:sz w:val="18"/>
                <w:szCs w:val="18"/>
              </w:rPr>
            </w:pPr>
            <w:r>
              <w:rPr>
                <w:rFonts w:hint="eastAsia"/>
                <w:sz w:val="18"/>
                <w:szCs w:val="18"/>
              </w:rPr>
              <w:t>李长城</w:t>
            </w:r>
          </w:p>
        </w:tc>
        <w:tc>
          <w:tcPr>
            <w:tcW w:w="645" w:type="dxa"/>
            <w:vAlign w:val="center"/>
          </w:tcPr>
          <w:p>
            <w:pPr>
              <w:jc w:val="center"/>
              <w:rPr>
                <w:color w:val="000000"/>
                <w:kern w:val="0"/>
                <w:sz w:val="18"/>
                <w:szCs w:val="18"/>
              </w:rPr>
            </w:pPr>
            <w:r>
              <w:rPr>
                <w:color w:val="000000"/>
                <w:kern w:val="0"/>
                <w:sz w:val="18"/>
                <w:szCs w:val="18"/>
              </w:rPr>
              <w:t>9</w:t>
            </w:r>
          </w:p>
        </w:tc>
        <w:tc>
          <w:tcPr>
            <w:tcW w:w="631" w:type="dxa"/>
            <w:vAlign w:val="center"/>
          </w:tcPr>
          <w:p>
            <w:pPr>
              <w:jc w:val="left"/>
              <w:rPr>
                <w:sz w:val="18"/>
                <w:szCs w:val="18"/>
              </w:rPr>
            </w:pPr>
            <w:r>
              <w:rPr>
                <w:rFonts w:hint="eastAsia"/>
                <w:sz w:val="18"/>
                <w:szCs w:val="18"/>
              </w:rPr>
              <w:t>副</w:t>
            </w:r>
            <w:r>
              <w:rPr>
                <w:sz w:val="18"/>
                <w:szCs w:val="18"/>
              </w:rPr>
              <w:t>高级</w:t>
            </w:r>
          </w:p>
        </w:tc>
        <w:tc>
          <w:tcPr>
            <w:tcW w:w="1701" w:type="dxa"/>
            <w:vAlign w:val="center"/>
          </w:tcPr>
          <w:p>
            <w:pPr>
              <w:jc w:val="center"/>
              <w:rPr>
                <w:sz w:val="18"/>
                <w:szCs w:val="18"/>
              </w:rPr>
            </w:pPr>
            <w:r>
              <w:rPr>
                <w:rFonts w:hint="eastAsia"/>
                <w:sz w:val="18"/>
                <w:szCs w:val="18"/>
              </w:rPr>
              <w:t>北京中交华安科技有限公司</w:t>
            </w:r>
          </w:p>
        </w:tc>
        <w:tc>
          <w:tcPr>
            <w:tcW w:w="1559" w:type="dxa"/>
            <w:vAlign w:val="center"/>
          </w:tcPr>
          <w:p>
            <w:pPr>
              <w:jc w:val="center"/>
              <w:rPr>
                <w:sz w:val="18"/>
                <w:szCs w:val="18"/>
              </w:rPr>
            </w:pPr>
            <w:r>
              <w:rPr>
                <w:rFonts w:hint="eastAsia"/>
                <w:sz w:val="18"/>
                <w:szCs w:val="18"/>
              </w:rPr>
              <w:t>北京中交华安科技有限公司</w:t>
            </w:r>
          </w:p>
        </w:tc>
        <w:tc>
          <w:tcPr>
            <w:tcW w:w="7229" w:type="dxa"/>
          </w:tcPr>
          <w:p>
            <w:pPr>
              <w:jc w:val="left"/>
              <w:rPr>
                <w:sz w:val="18"/>
                <w:szCs w:val="18"/>
              </w:rPr>
            </w:pPr>
            <w:r>
              <w:rPr>
                <w:rFonts w:hint="eastAsia"/>
                <w:sz w:val="18"/>
                <w:szCs w:val="18"/>
              </w:rPr>
              <w:t>对创新点二中的浓雾和路面结冰短临预警与管控技术有重要贡献，重点提出了未来1-3小时，不依赖于气象部门预报的短临浓雾和潜在路面结冰预测预警技术，及恶劣天气下交通安全管控标准。对创新点三中的低能见度下行车安全智能诱导系统与装备研究也有重要贡献，首次提出了行车安全智能诱导系统的总体架构和设计思想。授权发明专利2件。行业标准1项，国家标准3项，专著1部。</w:t>
            </w:r>
          </w:p>
        </w:tc>
        <w:tc>
          <w:tcPr>
            <w:tcW w:w="1418" w:type="dxa"/>
            <w:vAlign w:val="center"/>
          </w:tcPr>
          <w:p>
            <w:pPr>
              <w:rPr>
                <w:sz w:val="18"/>
                <w:szCs w:val="18"/>
              </w:rPr>
            </w:pPr>
            <w:r>
              <w:rPr>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737" w:type="dxa"/>
            <w:vAlign w:val="center"/>
          </w:tcPr>
          <w:p>
            <w:pPr>
              <w:jc w:val="center"/>
              <w:rPr>
                <w:sz w:val="18"/>
                <w:szCs w:val="18"/>
              </w:rPr>
            </w:pPr>
            <w:r>
              <w:rPr>
                <w:rFonts w:hint="eastAsia"/>
                <w:sz w:val="18"/>
                <w:szCs w:val="18"/>
              </w:rPr>
              <w:t>周荣贵</w:t>
            </w:r>
          </w:p>
        </w:tc>
        <w:tc>
          <w:tcPr>
            <w:tcW w:w="645" w:type="dxa"/>
            <w:vAlign w:val="center"/>
          </w:tcPr>
          <w:p>
            <w:pPr>
              <w:jc w:val="center"/>
              <w:rPr>
                <w:color w:val="000000"/>
                <w:kern w:val="0"/>
                <w:sz w:val="18"/>
                <w:szCs w:val="18"/>
              </w:rPr>
            </w:pPr>
            <w:r>
              <w:rPr>
                <w:color w:val="000000"/>
                <w:kern w:val="0"/>
                <w:sz w:val="18"/>
                <w:szCs w:val="18"/>
              </w:rPr>
              <w:t>10</w:t>
            </w:r>
          </w:p>
        </w:tc>
        <w:tc>
          <w:tcPr>
            <w:tcW w:w="631" w:type="dxa"/>
            <w:vAlign w:val="center"/>
          </w:tcPr>
          <w:p>
            <w:pPr>
              <w:jc w:val="left"/>
              <w:rPr>
                <w:sz w:val="18"/>
                <w:szCs w:val="18"/>
              </w:rPr>
            </w:pPr>
            <w:r>
              <w:rPr>
                <w:sz w:val="18"/>
                <w:szCs w:val="18"/>
              </w:rPr>
              <w:t>正高级</w:t>
            </w:r>
          </w:p>
        </w:tc>
        <w:tc>
          <w:tcPr>
            <w:tcW w:w="1701" w:type="dxa"/>
            <w:vAlign w:val="center"/>
          </w:tcPr>
          <w:p>
            <w:pPr>
              <w:jc w:val="center"/>
              <w:rPr>
                <w:color w:val="000000"/>
                <w:kern w:val="0"/>
                <w:sz w:val="18"/>
                <w:szCs w:val="18"/>
              </w:rPr>
            </w:pPr>
            <w:r>
              <w:rPr>
                <w:sz w:val="18"/>
                <w:szCs w:val="18"/>
              </w:rPr>
              <w:t>交通运输部公路科学研究所</w:t>
            </w:r>
          </w:p>
        </w:tc>
        <w:tc>
          <w:tcPr>
            <w:tcW w:w="1559" w:type="dxa"/>
            <w:vAlign w:val="center"/>
          </w:tcPr>
          <w:p>
            <w:pPr>
              <w:jc w:val="center"/>
              <w:rPr>
                <w:color w:val="000000"/>
                <w:kern w:val="0"/>
                <w:sz w:val="18"/>
                <w:szCs w:val="18"/>
              </w:rPr>
            </w:pPr>
            <w:r>
              <w:rPr>
                <w:sz w:val="18"/>
                <w:szCs w:val="18"/>
              </w:rPr>
              <w:t>交通运输部公路科学研究所</w:t>
            </w:r>
          </w:p>
        </w:tc>
        <w:tc>
          <w:tcPr>
            <w:tcW w:w="7229" w:type="dxa"/>
          </w:tcPr>
          <w:p>
            <w:pPr>
              <w:jc w:val="left"/>
              <w:rPr>
                <w:sz w:val="18"/>
                <w:szCs w:val="18"/>
              </w:rPr>
            </w:pPr>
            <w:r>
              <w:rPr>
                <w:rFonts w:hint="eastAsia"/>
                <w:sz w:val="18"/>
                <w:szCs w:val="18"/>
              </w:rPr>
              <w:t>1．提出了适合我国公路特点、基于车辆轴距与比功率的运行速度标准车型和划分标准，制定运行速度模型研究手段（专利ZL201020173169.4、ZL201020173188.7）；2.提出基于运行速度的公路安全设计方法，研究建立高速、一级公路运行速度模型（论文，Effects of First Class HighwayRoadside Interference on Operating Speed），对运行速度模型进行标定和验证；提出并验证了路线几何单元的划分标准和运行速度模型的适用范围，为创新点一做出重大贡献；3．对创新成果3.1做出了贡献。</w:t>
            </w:r>
          </w:p>
        </w:tc>
        <w:tc>
          <w:tcPr>
            <w:tcW w:w="1418" w:type="dxa"/>
            <w:vAlign w:val="center"/>
          </w:tcPr>
          <w:p>
            <w:pPr>
              <w:rPr>
                <w:sz w:val="18"/>
                <w:szCs w:val="18"/>
              </w:rPr>
            </w:pPr>
            <w:r>
              <w:rPr>
                <w:rFonts w:hint="eastAsia"/>
                <w:sz w:val="18"/>
                <w:szCs w:val="18"/>
              </w:rPr>
              <w:t>2002 年，《公路通行能力研究的装备与技术》（2002-J-223-2-04-R01）,获国家科学技术进步奖，二等奖，排名第1。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7" w:type="dxa"/>
            <w:vAlign w:val="center"/>
          </w:tcPr>
          <w:p>
            <w:pPr>
              <w:jc w:val="center"/>
              <w:rPr>
                <w:sz w:val="18"/>
                <w:szCs w:val="18"/>
              </w:rPr>
            </w:pPr>
            <w:r>
              <w:rPr>
                <w:rFonts w:hint="eastAsia"/>
                <w:sz w:val="18"/>
                <w:szCs w:val="18"/>
              </w:rPr>
              <w:t>陈伟</w:t>
            </w:r>
          </w:p>
        </w:tc>
        <w:tc>
          <w:tcPr>
            <w:tcW w:w="645" w:type="dxa"/>
            <w:vAlign w:val="center"/>
          </w:tcPr>
          <w:p>
            <w:pPr>
              <w:jc w:val="center"/>
              <w:rPr>
                <w:color w:val="000000"/>
                <w:kern w:val="0"/>
                <w:sz w:val="18"/>
                <w:szCs w:val="18"/>
              </w:rPr>
            </w:pPr>
            <w:r>
              <w:rPr>
                <w:color w:val="000000"/>
                <w:kern w:val="0"/>
                <w:sz w:val="18"/>
                <w:szCs w:val="18"/>
              </w:rPr>
              <w:t>11</w:t>
            </w:r>
          </w:p>
        </w:tc>
        <w:tc>
          <w:tcPr>
            <w:tcW w:w="631" w:type="dxa"/>
            <w:vAlign w:val="center"/>
          </w:tcPr>
          <w:p>
            <w:pPr>
              <w:jc w:val="left"/>
              <w:rPr>
                <w:sz w:val="18"/>
                <w:szCs w:val="18"/>
              </w:rPr>
            </w:pPr>
            <w:r>
              <w:rPr>
                <w:sz w:val="18"/>
                <w:szCs w:val="18"/>
              </w:rPr>
              <w:t>正高级</w:t>
            </w:r>
          </w:p>
        </w:tc>
        <w:tc>
          <w:tcPr>
            <w:tcW w:w="1701" w:type="dxa"/>
            <w:vAlign w:val="center"/>
          </w:tcPr>
          <w:p>
            <w:pPr>
              <w:jc w:val="center"/>
              <w:rPr>
                <w:sz w:val="18"/>
                <w:szCs w:val="18"/>
              </w:rPr>
            </w:pPr>
            <w:r>
              <w:rPr>
                <w:rFonts w:hint="eastAsia"/>
                <w:sz w:val="18"/>
                <w:szCs w:val="18"/>
              </w:rPr>
              <w:t>杭州博达伟业公共安全技术股份有限公司</w:t>
            </w:r>
          </w:p>
        </w:tc>
        <w:tc>
          <w:tcPr>
            <w:tcW w:w="1559" w:type="dxa"/>
            <w:vAlign w:val="center"/>
          </w:tcPr>
          <w:p>
            <w:pPr>
              <w:jc w:val="center"/>
              <w:rPr>
                <w:sz w:val="18"/>
                <w:szCs w:val="18"/>
              </w:rPr>
            </w:pPr>
            <w:r>
              <w:rPr>
                <w:rFonts w:hint="eastAsia"/>
                <w:sz w:val="18"/>
                <w:szCs w:val="18"/>
              </w:rPr>
              <w:t>杭州博达伟业公共安全技术股份有限公司</w:t>
            </w:r>
          </w:p>
        </w:tc>
        <w:tc>
          <w:tcPr>
            <w:tcW w:w="7229" w:type="dxa"/>
          </w:tcPr>
          <w:p>
            <w:pPr>
              <w:jc w:val="left"/>
              <w:rPr>
                <w:sz w:val="18"/>
                <w:szCs w:val="18"/>
              </w:rPr>
            </w:pPr>
            <w:r>
              <w:rPr>
                <w:rFonts w:hint="eastAsia"/>
                <w:sz w:val="18"/>
                <w:szCs w:val="18"/>
              </w:rPr>
              <w:t>对创新点三中的低能见度下行车安全智能诱导系统与装备研究有突出贡献，解决了链式通信和无线组态、装备产业化等技术难点。授权发明专利3件，为第一发明人。</w:t>
            </w:r>
          </w:p>
        </w:tc>
        <w:tc>
          <w:tcPr>
            <w:tcW w:w="1418" w:type="dxa"/>
            <w:vAlign w:val="center"/>
          </w:tcPr>
          <w:p>
            <w:pPr>
              <w:rPr>
                <w:sz w:val="18"/>
                <w:szCs w:val="18"/>
              </w:rPr>
            </w:pPr>
            <w:r>
              <w:rPr>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737" w:type="dxa"/>
            <w:vAlign w:val="center"/>
          </w:tcPr>
          <w:p>
            <w:pPr>
              <w:jc w:val="center"/>
              <w:rPr>
                <w:sz w:val="18"/>
                <w:szCs w:val="18"/>
              </w:rPr>
            </w:pPr>
            <w:r>
              <w:rPr>
                <w:rFonts w:hint="eastAsia"/>
                <w:sz w:val="18"/>
                <w:szCs w:val="18"/>
              </w:rPr>
              <w:t>杨勇</w:t>
            </w:r>
          </w:p>
        </w:tc>
        <w:tc>
          <w:tcPr>
            <w:tcW w:w="645" w:type="dxa"/>
            <w:vAlign w:val="center"/>
          </w:tcPr>
          <w:p>
            <w:pPr>
              <w:jc w:val="center"/>
              <w:rPr>
                <w:color w:val="000000"/>
                <w:kern w:val="0"/>
                <w:sz w:val="18"/>
                <w:szCs w:val="18"/>
              </w:rPr>
            </w:pPr>
            <w:r>
              <w:rPr>
                <w:color w:val="000000"/>
                <w:kern w:val="0"/>
                <w:sz w:val="18"/>
                <w:szCs w:val="18"/>
              </w:rPr>
              <w:t>12</w:t>
            </w:r>
          </w:p>
        </w:tc>
        <w:tc>
          <w:tcPr>
            <w:tcW w:w="631" w:type="dxa"/>
            <w:vAlign w:val="center"/>
          </w:tcPr>
          <w:p>
            <w:pPr>
              <w:jc w:val="left"/>
              <w:rPr>
                <w:sz w:val="18"/>
                <w:szCs w:val="18"/>
              </w:rPr>
            </w:pPr>
            <w:r>
              <w:rPr>
                <w:sz w:val="18"/>
                <w:szCs w:val="18"/>
              </w:rPr>
              <w:t>副高级</w:t>
            </w:r>
          </w:p>
        </w:tc>
        <w:tc>
          <w:tcPr>
            <w:tcW w:w="1701" w:type="dxa"/>
            <w:vAlign w:val="center"/>
          </w:tcPr>
          <w:p>
            <w:pPr>
              <w:jc w:val="center"/>
              <w:rPr>
                <w:color w:val="000000"/>
                <w:kern w:val="0"/>
                <w:sz w:val="18"/>
                <w:szCs w:val="18"/>
              </w:rPr>
            </w:pPr>
            <w:r>
              <w:rPr>
                <w:sz w:val="18"/>
                <w:szCs w:val="18"/>
              </w:rPr>
              <w:t>交通运输部公路科学研究所</w:t>
            </w:r>
          </w:p>
        </w:tc>
        <w:tc>
          <w:tcPr>
            <w:tcW w:w="1559" w:type="dxa"/>
            <w:vAlign w:val="center"/>
          </w:tcPr>
          <w:p>
            <w:pPr>
              <w:jc w:val="center"/>
              <w:rPr>
                <w:color w:val="000000"/>
                <w:kern w:val="0"/>
                <w:sz w:val="18"/>
                <w:szCs w:val="18"/>
              </w:rPr>
            </w:pPr>
            <w:r>
              <w:rPr>
                <w:sz w:val="18"/>
                <w:szCs w:val="18"/>
              </w:rPr>
              <w:t>交通运输部公路科学研究所</w:t>
            </w:r>
          </w:p>
        </w:tc>
        <w:tc>
          <w:tcPr>
            <w:tcW w:w="7229" w:type="dxa"/>
          </w:tcPr>
          <w:p>
            <w:pPr>
              <w:jc w:val="left"/>
              <w:rPr>
                <w:sz w:val="18"/>
                <w:szCs w:val="18"/>
              </w:rPr>
            </w:pPr>
            <w:r>
              <w:rPr>
                <w:rFonts w:hint="eastAsia"/>
                <w:sz w:val="18"/>
                <w:szCs w:val="18"/>
              </w:rPr>
              <w:t>在交通标志视认性评价方法和隧道光色双元照明控制技术方面做出了创新性的工作。对创新成果3.1中的（4））和3.2中的（3））做出了贡献。</w:t>
            </w:r>
          </w:p>
        </w:tc>
        <w:tc>
          <w:tcPr>
            <w:tcW w:w="1418" w:type="dxa"/>
            <w:vAlign w:val="center"/>
          </w:tcPr>
          <w:p>
            <w:pPr>
              <w:rPr>
                <w:sz w:val="18"/>
                <w:szCs w:val="18"/>
              </w:rPr>
            </w:pPr>
            <w:r>
              <w:rPr>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737" w:type="dxa"/>
            <w:vAlign w:val="center"/>
          </w:tcPr>
          <w:p>
            <w:pPr>
              <w:jc w:val="center"/>
              <w:rPr>
                <w:sz w:val="18"/>
                <w:szCs w:val="18"/>
              </w:rPr>
            </w:pPr>
            <w:r>
              <w:rPr>
                <w:rFonts w:hint="eastAsia"/>
                <w:sz w:val="18"/>
                <w:szCs w:val="18"/>
              </w:rPr>
              <w:t>钟连德</w:t>
            </w:r>
          </w:p>
        </w:tc>
        <w:tc>
          <w:tcPr>
            <w:tcW w:w="645" w:type="dxa"/>
            <w:vAlign w:val="center"/>
          </w:tcPr>
          <w:p>
            <w:pPr>
              <w:jc w:val="center"/>
              <w:rPr>
                <w:color w:val="000000"/>
                <w:kern w:val="0"/>
                <w:sz w:val="18"/>
                <w:szCs w:val="18"/>
              </w:rPr>
            </w:pPr>
            <w:r>
              <w:rPr>
                <w:color w:val="000000"/>
                <w:kern w:val="0"/>
                <w:sz w:val="18"/>
                <w:szCs w:val="18"/>
              </w:rPr>
              <w:t>13</w:t>
            </w:r>
          </w:p>
        </w:tc>
        <w:tc>
          <w:tcPr>
            <w:tcW w:w="631" w:type="dxa"/>
            <w:vAlign w:val="center"/>
          </w:tcPr>
          <w:p>
            <w:pPr>
              <w:jc w:val="left"/>
              <w:rPr>
                <w:sz w:val="18"/>
                <w:szCs w:val="18"/>
              </w:rPr>
            </w:pPr>
            <w:r>
              <w:rPr>
                <w:rFonts w:hint="eastAsia"/>
                <w:sz w:val="18"/>
                <w:szCs w:val="18"/>
              </w:rPr>
              <w:t>正</w:t>
            </w:r>
            <w:r>
              <w:rPr>
                <w:sz w:val="18"/>
                <w:szCs w:val="18"/>
              </w:rPr>
              <w:t>高级</w:t>
            </w:r>
          </w:p>
        </w:tc>
        <w:tc>
          <w:tcPr>
            <w:tcW w:w="1701" w:type="dxa"/>
            <w:vAlign w:val="center"/>
          </w:tcPr>
          <w:p>
            <w:pPr>
              <w:jc w:val="center"/>
              <w:rPr>
                <w:color w:val="000000"/>
                <w:kern w:val="0"/>
                <w:sz w:val="18"/>
                <w:szCs w:val="18"/>
              </w:rPr>
            </w:pPr>
            <w:r>
              <w:rPr>
                <w:sz w:val="18"/>
                <w:szCs w:val="18"/>
              </w:rPr>
              <w:t>交通运输部公路科学研究所</w:t>
            </w:r>
          </w:p>
        </w:tc>
        <w:tc>
          <w:tcPr>
            <w:tcW w:w="1559" w:type="dxa"/>
            <w:vAlign w:val="center"/>
          </w:tcPr>
          <w:p>
            <w:pPr>
              <w:jc w:val="center"/>
              <w:rPr>
                <w:color w:val="000000"/>
                <w:kern w:val="0"/>
                <w:sz w:val="18"/>
                <w:szCs w:val="18"/>
              </w:rPr>
            </w:pPr>
            <w:r>
              <w:rPr>
                <w:sz w:val="18"/>
                <w:szCs w:val="18"/>
              </w:rPr>
              <w:t>交通运输部公路科学研究所</w:t>
            </w:r>
          </w:p>
        </w:tc>
        <w:tc>
          <w:tcPr>
            <w:tcW w:w="7229" w:type="dxa"/>
          </w:tcPr>
          <w:p>
            <w:pPr>
              <w:jc w:val="left"/>
              <w:rPr>
                <w:sz w:val="18"/>
                <w:szCs w:val="18"/>
              </w:rPr>
            </w:pPr>
            <w:r>
              <w:rPr>
                <w:rFonts w:hint="eastAsia"/>
                <w:sz w:val="18"/>
                <w:szCs w:val="18"/>
              </w:rPr>
              <w:t>在公路网风险评估模型建立和高风险路段的甄别方面做出了创新性的工作。对创新成果3.2中的（1）和（2）做出了贡献。</w:t>
            </w:r>
          </w:p>
        </w:tc>
        <w:tc>
          <w:tcPr>
            <w:tcW w:w="1418" w:type="dxa"/>
            <w:vAlign w:val="center"/>
          </w:tcPr>
          <w:p>
            <w:pPr>
              <w:rPr>
                <w:sz w:val="18"/>
                <w:szCs w:val="18"/>
              </w:rPr>
            </w:pPr>
            <w:r>
              <w:rPr>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737" w:type="dxa"/>
            <w:vAlign w:val="center"/>
          </w:tcPr>
          <w:p>
            <w:pPr>
              <w:jc w:val="center"/>
              <w:rPr>
                <w:sz w:val="18"/>
                <w:szCs w:val="18"/>
              </w:rPr>
            </w:pPr>
            <w:r>
              <w:rPr>
                <w:rFonts w:hint="eastAsia"/>
                <w:sz w:val="18"/>
                <w:szCs w:val="18"/>
              </w:rPr>
              <w:t>陈永胜</w:t>
            </w:r>
          </w:p>
        </w:tc>
        <w:tc>
          <w:tcPr>
            <w:tcW w:w="645" w:type="dxa"/>
            <w:vAlign w:val="center"/>
          </w:tcPr>
          <w:p>
            <w:pPr>
              <w:jc w:val="center"/>
              <w:rPr>
                <w:sz w:val="18"/>
                <w:szCs w:val="18"/>
              </w:rPr>
            </w:pPr>
            <w:r>
              <w:rPr>
                <w:sz w:val="18"/>
                <w:szCs w:val="18"/>
              </w:rPr>
              <w:t>14</w:t>
            </w:r>
          </w:p>
        </w:tc>
        <w:tc>
          <w:tcPr>
            <w:tcW w:w="631" w:type="dxa"/>
            <w:vAlign w:val="center"/>
          </w:tcPr>
          <w:p>
            <w:pPr>
              <w:jc w:val="left"/>
              <w:rPr>
                <w:sz w:val="18"/>
                <w:szCs w:val="18"/>
              </w:rPr>
            </w:pPr>
            <w:r>
              <w:rPr>
                <w:rFonts w:hint="eastAsia"/>
                <w:sz w:val="18"/>
                <w:szCs w:val="18"/>
              </w:rPr>
              <w:t>正</w:t>
            </w:r>
            <w:r>
              <w:rPr>
                <w:sz w:val="18"/>
                <w:szCs w:val="18"/>
              </w:rPr>
              <w:t>高级</w:t>
            </w:r>
          </w:p>
        </w:tc>
        <w:tc>
          <w:tcPr>
            <w:tcW w:w="1701" w:type="dxa"/>
            <w:vAlign w:val="center"/>
          </w:tcPr>
          <w:p>
            <w:pPr>
              <w:jc w:val="center"/>
              <w:rPr>
                <w:color w:val="000000"/>
                <w:kern w:val="0"/>
                <w:sz w:val="18"/>
                <w:szCs w:val="18"/>
              </w:rPr>
            </w:pPr>
            <w:r>
              <w:rPr>
                <w:sz w:val="18"/>
                <w:szCs w:val="18"/>
              </w:rPr>
              <w:t>交通运输部公路科学研究所</w:t>
            </w:r>
          </w:p>
        </w:tc>
        <w:tc>
          <w:tcPr>
            <w:tcW w:w="1559" w:type="dxa"/>
            <w:vAlign w:val="center"/>
          </w:tcPr>
          <w:p>
            <w:pPr>
              <w:jc w:val="center"/>
              <w:rPr>
                <w:color w:val="000000"/>
                <w:kern w:val="0"/>
                <w:sz w:val="18"/>
                <w:szCs w:val="18"/>
              </w:rPr>
            </w:pPr>
            <w:r>
              <w:rPr>
                <w:sz w:val="18"/>
                <w:szCs w:val="18"/>
              </w:rPr>
              <w:t>交通运输部公路科学研究所</w:t>
            </w:r>
          </w:p>
        </w:tc>
        <w:tc>
          <w:tcPr>
            <w:tcW w:w="7229" w:type="dxa"/>
          </w:tcPr>
          <w:p>
            <w:pPr>
              <w:jc w:val="left"/>
              <w:rPr>
                <w:sz w:val="18"/>
                <w:szCs w:val="18"/>
              </w:rPr>
            </w:pPr>
            <w:r>
              <w:rPr>
                <w:rFonts w:hint="eastAsia"/>
                <w:sz w:val="18"/>
                <w:szCs w:val="18"/>
              </w:rPr>
              <w:t>完成了创新点公路网交通安全智能分析与短时动态预警技术。</w:t>
            </w:r>
          </w:p>
        </w:tc>
        <w:tc>
          <w:tcPr>
            <w:tcW w:w="1418" w:type="dxa"/>
            <w:vAlign w:val="center"/>
          </w:tcPr>
          <w:p>
            <w:pPr>
              <w:rPr>
                <w:sz w:val="18"/>
                <w:szCs w:val="18"/>
              </w:rPr>
            </w:pPr>
            <w:r>
              <w:rPr>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7" w:type="dxa"/>
            <w:vAlign w:val="center"/>
          </w:tcPr>
          <w:p>
            <w:pPr>
              <w:jc w:val="center"/>
              <w:rPr>
                <w:sz w:val="18"/>
                <w:szCs w:val="18"/>
              </w:rPr>
            </w:pPr>
            <w:r>
              <w:rPr>
                <w:rFonts w:hint="eastAsia"/>
                <w:sz w:val="18"/>
                <w:szCs w:val="18"/>
              </w:rPr>
              <w:t>刘恒权</w:t>
            </w:r>
          </w:p>
        </w:tc>
        <w:tc>
          <w:tcPr>
            <w:tcW w:w="645" w:type="dxa"/>
            <w:vAlign w:val="center"/>
          </w:tcPr>
          <w:p>
            <w:pPr>
              <w:jc w:val="center"/>
              <w:rPr>
                <w:color w:val="000000"/>
                <w:kern w:val="0"/>
                <w:sz w:val="18"/>
                <w:szCs w:val="18"/>
              </w:rPr>
            </w:pPr>
            <w:r>
              <w:rPr>
                <w:color w:val="000000"/>
                <w:kern w:val="0"/>
                <w:sz w:val="18"/>
                <w:szCs w:val="18"/>
              </w:rPr>
              <w:t>15</w:t>
            </w:r>
          </w:p>
        </w:tc>
        <w:tc>
          <w:tcPr>
            <w:tcW w:w="631" w:type="dxa"/>
            <w:vAlign w:val="center"/>
          </w:tcPr>
          <w:p>
            <w:pPr>
              <w:jc w:val="left"/>
              <w:rPr>
                <w:sz w:val="18"/>
                <w:szCs w:val="18"/>
              </w:rPr>
            </w:pPr>
            <w:r>
              <w:rPr>
                <w:rFonts w:hint="eastAsia"/>
                <w:sz w:val="18"/>
                <w:szCs w:val="18"/>
              </w:rPr>
              <w:t>正</w:t>
            </w:r>
            <w:r>
              <w:rPr>
                <w:sz w:val="18"/>
                <w:szCs w:val="18"/>
              </w:rPr>
              <w:t>高级</w:t>
            </w:r>
          </w:p>
        </w:tc>
        <w:tc>
          <w:tcPr>
            <w:tcW w:w="1701" w:type="dxa"/>
            <w:vAlign w:val="center"/>
          </w:tcPr>
          <w:p>
            <w:pPr>
              <w:jc w:val="center"/>
              <w:rPr>
                <w:sz w:val="18"/>
                <w:szCs w:val="18"/>
              </w:rPr>
            </w:pPr>
            <w:r>
              <w:rPr>
                <w:rFonts w:hint="eastAsia"/>
                <w:sz w:val="18"/>
                <w:szCs w:val="18"/>
              </w:rPr>
              <w:t>北京中交华安科技有限公司</w:t>
            </w:r>
          </w:p>
        </w:tc>
        <w:tc>
          <w:tcPr>
            <w:tcW w:w="1559" w:type="dxa"/>
            <w:vAlign w:val="center"/>
          </w:tcPr>
          <w:p>
            <w:pPr>
              <w:jc w:val="center"/>
              <w:rPr>
                <w:sz w:val="18"/>
                <w:szCs w:val="18"/>
              </w:rPr>
            </w:pPr>
            <w:r>
              <w:rPr>
                <w:rFonts w:hint="eastAsia"/>
                <w:sz w:val="18"/>
                <w:szCs w:val="18"/>
              </w:rPr>
              <w:t>北京中交华安科技有限公司</w:t>
            </w:r>
          </w:p>
        </w:tc>
        <w:tc>
          <w:tcPr>
            <w:tcW w:w="7229" w:type="dxa"/>
          </w:tcPr>
          <w:p>
            <w:pPr>
              <w:jc w:val="left"/>
              <w:rPr>
                <w:sz w:val="18"/>
                <w:szCs w:val="18"/>
              </w:rPr>
            </w:pPr>
            <w:r>
              <w:rPr>
                <w:rFonts w:hint="eastAsia"/>
                <w:sz w:val="18"/>
                <w:szCs w:val="18"/>
              </w:rPr>
              <w:t>对雨夜反光逆反射光学器件、抗滑反光彩色路面铺装材料、高亮广角雨夜反光立面标记涂料研发做出了创造性贡献。</w:t>
            </w:r>
          </w:p>
        </w:tc>
        <w:tc>
          <w:tcPr>
            <w:tcW w:w="1418" w:type="dxa"/>
            <w:vAlign w:val="center"/>
          </w:tcPr>
          <w:p>
            <w:pPr>
              <w:rPr>
                <w:sz w:val="18"/>
                <w:szCs w:val="18"/>
              </w:rPr>
            </w:pPr>
            <w:r>
              <w:rPr>
                <w:sz w:val="18"/>
                <w:szCs w:val="18"/>
              </w:rPr>
              <w:t>无</w:t>
            </w:r>
          </w:p>
        </w:tc>
      </w:tr>
    </w:tbl>
    <w:p>
      <w:pPr>
        <w:rPr>
          <w:b/>
          <w:color w:val="000000"/>
          <w:sz w:val="24"/>
          <w:szCs w:val="24"/>
        </w:rPr>
      </w:pPr>
    </w:p>
    <w:p>
      <w:pPr>
        <w:rPr>
          <w:b/>
          <w:color w:val="000000"/>
          <w:sz w:val="24"/>
          <w:szCs w:val="24"/>
        </w:rPr>
        <w:sectPr>
          <w:pgSz w:w="16838" w:h="11906" w:orient="landscape"/>
          <w:pgMar w:top="1588" w:right="1418" w:bottom="1588" w:left="1474" w:header="851" w:footer="1021" w:gutter="0"/>
          <w:cols w:space="720" w:num="1"/>
        </w:sectPr>
      </w:pPr>
    </w:p>
    <w:p>
      <w:pPr>
        <w:ind w:firstLine="482" w:firstLineChars="200"/>
        <w:outlineLvl w:val="0"/>
        <w:rPr>
          <w:b/>
          <w:sz w:val="24"/>
          <w:szCs w:val="24"/>
        </w:rPr>
      </w:pPr>
      <w:r>
        <w:rPr>
          <w:rFonts w:hint="eastAsia"/>
          <w:b/>
          <w:sz w:val="24"/>
          <w:szCs w:val="24"/>
        </w:rPr>
        <w:t>八、</w:t>
      </w:r>
      <w:r>
        <w:rPr>
          <w:b/>
          <w:sz w:val="24"/>
          <w:szCs w:val="24"/>
        </w:rPr>
        <w:t>主要完成单位及创新推广贡献</w:t>
      </w:r>
    </w:p>
    <w:tbl>
      <w:tblPr>
        <w:tblStyle w:val="23"/>
        <w:tblW w:w="895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tcPr>
          <w:p>
            <w:pPr>
              <w:jc w:val="center"/>
              <w:rPr>
                <w:b/>
                <w:sz w:val="18"/>
                <w:szCs w:val="18"/>
              </w:rPr>
            </w:pPr>
            <w:r>
              <w:rPr>
                <w:b/>
                <w:sz w:val="18"/>
                <w:szCs w:val="18"/>
              </w:rPr>
              <w:t>主要完成单位</w:t>
            </w:r>
          </w:p>
        </w:tc>
        <w:tc>
          <w:tcPr>
            <w:tcW w:w="6475" w:type="dxa"/>
          </w:tcPr>
          <w:p>
            <w:pPr>
              <w:jc w:val="center"/>
              <w:rPr>
                <w:b/>
                <w:sz w:val="18"/>
                <w:szCs w:val="18"/>
              </w:rPr>
            </w:pPr>
            <w:r>
              <w:rPr>
                <w:b/>
                <w:sz w:val="18"/>
                <w:szCs w:val="18"/>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vAlign w:val="center"/>
          </w:tcPr>
          <w:p>
            <w:pPr>
              <w:widowControl/>
              <w:jc w:val="left"/>
              <w:rPr>
                <w:color w:val="000000"/>
                <w:sz w:val="18"/>
                <w:szCs w:val="18"/>
              </w:rPr>
            </w:pPr>
            <w:r>
              <w:rPr>
                <w:rFonts w:hint="eastAsia" w:ascii="宋体" w:hAnsi="宋体"/>
              </w:rPr>
              <w:t>交通运输部公路科学研究所</w:t>
            </w:r>
          </w:p>
        </w:tc>
        <w:tc>
          <w:tcPr>
            <w:tcW w:w="6475" w:type="dxa"/>
          </w:tcPr>
          <w:p>
            <w:pPr>
              <w:widowControl/>
              <w:jc w:val="left"/>
              <w:rPr>
                <w:bCs/>
                <w:sz w:val="18"/>
                <w:szCs w:val="18"/>
              </w:rPr>
            </w:pPr>
            <w:r>
              <w:rPr>
                <w:rFonts w:hint="eastAsia"/>
                <w:bCs/>
                <w:sz w:val="18"/>
                <w:szCs w:val="18"/>
              </w:rPr>
              <w:t>交通运输部公路科学研究所作为项目总负责单位，参与了整个研究项目立项、技术方案制定、研究方案实施、数据采集与分析、模型开发与验证以及应用软件和相关安全设施的系统开发和实际推广应用等研究工作。本单位在项目中的主要贡献有：</w:t>
            </w:r>
          </w:p>
          <w:p>
            <w:pPr>
              <w:widowControl/>
              <w:jc w:val="left"/>
              <w:rPr>
                <w:bCs/>
                <w:sz w:val="18"/>
                <w:szCs w:val="18"/>
              </w:rPr>
            </w:pPr>
            <w:r>
              <w:rPr>
                <w:rFonts w:hint="eastAsia"/>
                <w:bCs/>
                <w:sz w:val="18"/>
                <w:szCs w:val="18"/>
              </w:rPr>
              <w:t>1.采用多元综合聚类分析法，首次提出了我国的运行速度代表车型和车型划分标准；针对一级公路、双车道公路出入口型式多样、机非混行、路侧街道化的特点，创新性提出了基于冲突等级的交叉口标准化处理与速度干扰算法。为解决路线设计一致性、几何指标均衡性等问题，系统建立了适合我国公路交通特点、车辆特性、驾驶习惯和高海拔地区的高速、一级、双车道公路以及公路隧道、互通区等特殊路段的运行速度应用模型；</w:t>
            </w:r>
          </w:p>
          <w:p>
            <w:pPr>
              <w:widowControl/>
              <w:jc w:val="left"/>
              <w:rPr>
                <w:bCs/>
                <w:sz w:val="18"/>
                <w:szCs w:val="18"/>
              </w:rPr>
            </w:pPr>
            <w:r>
              <w:rPr>
                <w:rFonts w:hint="eastAsia"/>
                <w:bCs/>
                <w:sz w:val="18"/>
                <w:szCs w:val="18"/>
              </w:rPr>
              <w:t>2.研究建立了包括几何线形、事故数、交通量和路侧特征四类指标12个变量的灰色聚类路侧危险等级评估模型，建立了包含视线诱导、危险提示、越界提醒、路面抗滑、路肩处置和速度控制等措施在内的主动预防处置体系；建立了路侧安全等级与护栏防护等级的对应关系和护栏设置方法。成果纳入行业规范《公路交通安全设施设计规范》，出版了《路侧安全设计指南》；</w:t>
            </w:r>
          </w:p>
          <w:p>
            <w:pPr>
              <w:widowControl/>
              <w:jc w:val="left"/>
              <w:rPr>
                <w:bCs/>
                <w:sz w:val="18"/>
                <w:szCs w:val="18"/>
              </w:rPr>
            </w:pPr>
            <w:r>
              <w:rPr>
                <w:rFonts w:hint="eastAsia"/>
                <w:bCs/>
                <w:sz w:val="18"/>
                <w:szCs w:val="18"/>
              </w:rPr>
              <w:t>3.创建了我国公路交通安全数据体系与标准，采用筛选、转化、增补、重构等方法，融合公安、交通、气象等多部门数据源和多数据类型，开发了开放式公路安全数据分析平台；建立了事故多发段变步长、变区间的双变量过滤判别模型，首次实现了路网级事故多发段判别，成果处于国际领先水平；建立了LOGIT事故预测模型（图6），改变了仅依据事故数或经验判断的传统方法，多发点位置判别准确度提高了40%。出版了《道路交通安全评价技术》和《道路交通安全手册》。</w:t>
            </w:r>
          </w:p>
          <w:p>
            <w:pPr>
              <w:widowControl/>
              <w:jc w:val="left"/>
              <w:rPr>
                <w:sz w:val="18"/>
                <w:szCs w:val="18"/>
              </w:rPr>
            </w:pPr>
            <w:r>
              <w:rPr>
                <w:rFonts w:hint="eastAsia"/>
                <w:bCs/>
                <w:sz w:val="18"/>
                <w:szCs w:val="18"/>
              </w:rPr>
              <w:t>4.开发了具有自主知识产权的新型公路护栏、标志等安全设施以及实车足尺碰撞和摆锤碰撞等试验检测设备，攻克了护栏碰撞模拟分析和空心钢管桩柱无损定量检测的技术难题。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vAlign w:val="center"/>
          </w:tcPr>
          <w:p>
            <w:pPr>
              <w:widowControl/>
              <w:jc w:val="center"/>
              <w:rPr>
                <w:bCs/>
                <w:sz w:val="18"/>
                <w:szCs w:val="18"/>
              </w:rPr>
            </w:pPr>
            <w:r>
              <w:rPr>
                <w:rFonts w:hint="eastAsia"/>
                <w:bCs/>
                <w:sz w:val="18"/>
                <w:szCs w:val="18"/>
              </w:rPr>
              <w:t>华杰工程咨询有限公司</w:t>
            </w:r>
          </w:p>
        </w:tc>
        <w:tc>
          <w:tcPr>
            <w:tcW w:w="6475" w:type="dxa"/>
          </w:tcPr>
          <w:p>
            <w:pPr>
              <w:widowControl/>
              <w:jc w:val="left"/>
              <w:rPr>
                <w:bCs/>
                <w:sz w:val="18"/>
                <w:szCs w:val="18"/>
              </w:rPr>
            </w:pPr>
            <w:r>
              <w:rPr>
                <w:rFonts w:hint="eastAsia"/>
                <w:bCs/>
                <w:sz w:val="18"/>
                <w:szCs w:val="18"/>
              </w:rPr>
              <w:t>华杰工程咨询有限公司作为项目的承担单位，主要负责公路安全设计、评价等方面的研究工作；直接负责并参与安全评价现场调研、数据采集与分析、评价模型建立与验证和设计方法总结以及项目鉴定验收准备等各阶段的工作,研究并提出了课题创新性成果，并在依托工程中验证和推广应用项目研究成果等相关工作。该单位在项目中的主要贡献有：</w:t>
            </w:r>
          </w:p>
          <w:p>
            <w:pPr>
              <w:widowControl/>
              <w:jc w:val="left"/>
              <w:rPr>
                <w:bCs/>
                <w:sz w:val="18"/>
                <w:szCs w:val="18"/>
              </w:rPr>
            </w:pPr>
            <w:r>
              <w:rPr>
                <w:rFonts w:hint="eastAsia"/>
                <w:bCs/>
                <w:sz w:val="18"/>
                <w:szCs w:val="18"/>
              </w:rPr>
              <w:t>1.结合我国国情选择了具有代表性的辽宁沈大、山东济青及烟青、山西太旧、重庆成渝、湖北汉宜、江苏沪宁、新疆吐乌大高等速公路和一级公路进行调查研究。在大量数理统计分析的基础上，深入研究了对交通事故与公路几何指标、交通事故与运动车速、公路几何指标与运动车速等关系。</w:t>
            </w:r>
          </w:p>
          <w:p>
            <w:pPr>
              <w:widowControl/>
              <w:jc w:val="left"/>
              <w:rPr>
                <w:bCs/>
                <w:sz w:val="18"/>
                <w:szCs w:val="18"/>
              </w:rPr>
            </w:pPr>
            <w:r>
              <w:rPr>
                <w:rFonts w:hint="eastAsia"/>
                <w:bCs/>
                <w:sz w:val="18"/>
                <w:szCs w:val="18"/>
              </w:rPr>
              <w:t>2. 研究我国公路安全性评价体系，提出了对我国高速公路和一级公路进行安全性评价的内容、方法，编制了《公路项目安全性评价指南》（JTG/T B05-2004）。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84" w:type="dxa"/>
            <w:vAlign w:val="center"/>
          </w:tcPr>
          <w:p>
            <w:pPr>
              <w:widowControl/>
              <w:jc w:val="center"/>
              <w:rPr>
                <w:color w:val="000000"/>
                <w:sz w:val="18"/>
                <w:szCs w:val="18"/>
              </w:rPr>
            </w:pPr>
            <w:r>
              <w:rPr>
                <w:rFonts w:hint="eastAsia"/>
                <w:bCs/>
                <w:sz w:val="18"/>
                <w:szCs w:val="18"/>
              </w:rPr>
              <w:t>北京交科公路勘察设计研究院有限公司</w:t>
            </w:r>
          </w:p>
        </w:tc>
        <w:tc>
          <w:tcPr>
            <w:tcW w:w="6475" w:type="dxa"/>
          </w:tcPr>
          <w:p>
            <w:pPr>
              <w:widowControl/>
              <w:jc w:val="left"/>
              <w:rPr>
                <w:bCs/>
                <w:sz w:val="18"/>
                <w:szCs w:val="18"/>
              </w:rPr>
            </w:pPr>
            <w:r>
              <w:rPr>
                <w:rFonts w:hint="eastAsia"/>
                <w:bCs/>
                <w:sz w:val="18"/>
                <w:szCs w:val="18"/>
              </w:rPr>
              <w:t>我院是《国家高速公路网指路体系的研究与应用》项目的主要参加单位，对本项目技术创新和应用的贡献主要有：</w:t>
            </w:r>
          </w:p>
          <w:p>
            <w:pPr>
              <w:widowControl/>
              <w:jc w:val="left"/>
              <w:rPr>
                <w:bCs/>
                <w:sz w:val="18"/>
                <w:szCs w:val="18"/>
              </w:rPr>
            </w:pPr>
            <w:r>
              <w:rPr>
                <w:bCs/>
                <w:sz w:val="18"/>
                <w:szCs w:val="18"/>
              </w:rPr>
              <w:t>1</w:t>
            </w:r>
            <w:r>
              <w:rPr>
                <w:rFonts w:hint="eastAsia"/>
                <w:bCs/>
                <w:sz w:val="18"/>
                <w:szCs w:val="18"/>
              </w:rPr>
              <w:t>、我院参与了广东、福建和江西等省份的交通标志调研工作，并对存在的问题进行了深入分析，为确定本项目的研究路线和目标提供了基本依据；</w:t>
            </w:r>
          </w:p>
          <w:p>
            <w:pPr>
              <w:widowControl/>
              <w:jc w:val="left"/>
              <w:rPr>
                <w:bCs/>
                <w:sz w:val="18"/>
                <w:szCs w:val="18"/>
              </w:rPr>
            </w:pPr>
            <w:r>
              <w:rPr>
                <w:bCs/>
                <w:sz w:val="18"/>
                <w:szCs w:val="18"/>
              </w:rPr>
              <w:t>2</w:t>
            </w:r>
            <w:r>
              <w:rPr>
                <w:rFonts w:hint="eastAsia"/>
                <w:bCs/>
                <w:sz w:val="18"/>
                <w:szCs w:val="18"/>
              </w:rPr>
              <w:t>、我院作为国内第一家开展公路交通安全设施设计的单位，在研究过程中，全面总结了我院及兄弟单位在交通标志设置、版面设计、结构设计等方面取得的经验和教训，参与提出了交通标志的设置体系；</w:t>
            </w:r>
          </w:p>
          <w:p>
            <w:pPr>
              <w:widowControl/>
              <w:jc w:val="left"/>
              <w:rPr>
                <w:bCs/>
                <w:sz w:val="18"/>
                <w:szCs w:val="18"/>
              </w:rPr>
            </w:pPr>
            <w:r>
              <w:rPr>
                <w:bCs/>
                <w:sz w:val="18"/>
                <w:szCs w:val="18"/>
              </w:rPr>
              <w:t>3</w:t>
            </w:r>
            <w:r>
              <w:rPr>
                <w:rFonts w:hint="eastAsia"/>
                <w:bCs/>
                <w:sz w:val="18"/>
                <w:szCs w:val="18"/>
              </w:rPr>
              <w:t>、我院具体负责了国家高速公路命名编号标志、方向标志、出口编号标识的设计等工作，美化了服务区、停车区预告标志的图案；</w:t>
            </w:r>
          </w:p>
          <w:p>
            <w:pPr>
              <w:widowControl/>
              <w:jc w:val="left"/>
              <w:rPr>
                <w:bCs/>
                <w:sz w:val="18"/>
                <w:szCs w:val="18"/>
              </w:rPr>
            </w:pPr>
            <w:r>
              <w:rPr>
                <w:bCs/>
                <w:sz w:val="18"/>
                <w:szCs w:val="18"/>
              </w:rPr>
              <w:t>4</w:t>
            </w:r>
            <w:r>
              <w:rPr>
                <w:rFonts w:hint="eastAsia"/>
                <w:bCs/>
                <w:sz w:val="18"/>
                <w:szCs w:val="18"/>
              </w:rPr>
              <w:t>、我院参与了交通标志专用字体的开发工作；</w:t>
            </w:r>
          </w:p>
          <w:p>
            <w:pPr>
              <w:widowControl/>
              <w:jc w:val="left"/>
              <w:rPr>
                <w:bCs/>
                <w:sz w:val="18"/>
                <w:szCs w:val="18"/>
              </w:rPr>
            </w:pPr>
            <w:r>
              <w:rPr>
                <w:rFonts w:hint="eastAsia"/>
                <w:bCs/>
                <w:sz w:val="18"/>
                <w:szCs w:val="18"/>
              </w:rPr>
              <w:t>5、我院具体承担了G2（京沪高速）京津塘段试点工程和G4（京港澳高速）广州至韶关段交通标志更换工程的设计工作。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vAlign w:val="center"/>
          </w:tcPr>
          <w:p>
            <w:pPr>
              <w:widowControl/>
              <w:jc w:val="center"/>
              <w:rPr>
                <w:bCs/>
                <w:sz w:val="18"/>
                <w:szCs w:val="18"/>
              </w:rPr>
            </w:pPr>
            <w:r>
              <w:rPr>
                <w:rFonts w:hint="eastAsia"/>
                <w:bCs/>
                <w:sz w:val="18"/>
                <w:szCs w:val="18"/>
              </w:rPr>
              <w:t>北京中交华安科技有限公司</w:t>
            </w:r>
          </w:p>
        </w:tc>
        <w:tc>
          <w:tcPr>
            <w:tcW w:w="6475" w:type="dxa"/>
          </w:tcPr>
          <w:p>
            <w:pPr>
              <w:widowControl/>
              <w:jc w:val="left"/>
              <w:rPr>
                <w:bCs/>
                <w:sz w:val="18"/>
                <w:szCs w:val="18"/>
              </w:rPr>
            </w:pPr>
            <w:r>
              <w:rPr>
                <w:rFonts w:hint="eastAsia"/>
                <w:bCs/>
                <w:sz w:val="18"/>
                <w:szCs w:val="18"/>
              </w:rPr>
              <w:t>对创新点二中的浓雾和路面结冰短临预警与管控技术有重要贡献，重点提出了不依赖于气象部门预报的短临浓雾和潜在路面结冰预测预警技术，及恶劣天气下交通安全管控标准。对创新点三中的低能见度下行车安全智能诱导系统与装备研究也有重要贡献，提出了行车安全智能诱导系统的总体架构和设计思想。授权发明专利2件。行业标准1项，国家标准3项，专著1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vAlign w:val="center"/>
          </w:tcPr>
          <w:p>
            <w:pPr>
              <w:widowControl/>
              <w:jc w:val="center"/>
              <w:rPr>
                <w:bCs/>
                <w:sz w:val="18"/>
                <w:szCs w:val="18"/>
              </w:rPr>
            </w:pPr>
            <w:r>
              <w:rPr>
                <w:rFonts w:hint="eastAsia"/>
                <w:bCs/>
                <w:sz w:val="18"/>
                <w:szCs w:val="18"/>
              </w:rPr>
              <w:t>杭州博达伟业公共安全技术股份有限公司</w:t>
            </w:r>
          </w:p>
        </w:tc>
        <w:tc>
          <w:tcPr>
            <w:tcW w:w="6475" w:type="dxa"/>
          </w:tcPr>
          <w:p>
            <w:pPr>
              <w:widowControl/>
              <w:jc w:val="left"/>
              <w:rPr>
                <w:bCs/>
                <w:sz w:val="18"/>
                <w:szCs w:val="18"/>
              </w:rPr>
            </w:pPr>
            <w:r>
              <w:rPr>
                <w:rFonts w:hint="eastAsia"/>
                <w:bCs/>
                <w:sz w:val="18"/>
                <w:szCs w:val="18"/>
              </w:rPr>
              <w:t>对创新点三中的低能见度下行车安全智能诱导系统与装备研究有重要贡献，主要解决了行车安全智能诱导装备中试、测试、以及规模化生产的问题，并进行了装备在科技示范工程的工程实施以及市场推广的工作。</w:t>
            </w:r>
          </w:p>
        </w:tc>
      </w:tr>
    </w:tbl>
    <w:p>
      <w:pPr>
        <w:rPr>
          <w:b/>
          <w:color w:val="000000"/>
          <w:sz w:val="24"/>
          <w:szCs w:val="24"/>
        </w:rPr>
        <w:sectPr>
          <w:pgSz w:w="11906" w:h="16838"/>
          <w:pgMar w:top="1418" w:right="1588" w:bottom="1474" w:left="1588" w:header="851" w:footer="1021" w:gutter="0"/>
          <w:cols w:space="720" w:num="1"/>
        </w:sectPr>
      </w:pPr>
    </w:p>
    <w:p>
      <w:pPr>
        <w:outlineLvl w:val="0"/>
        <w:rPr>
          <w:b/>
          <w:color w:val="000000"/>
          <w:sz w:val="24"/>
          <w:szCs w:val="24"/>
        </w:rPr>
      </w:pPr>
      <w:r>
        <w:rPr>
          <w:rFonts w:hint="eastAsia"/>
          <w:b/>
          <w:color w:val="000000"/>
          <w:sz w:val="24"/>
          <w:szCs w:val="24"/>
        </w:rPr>
        <w:t>九、</w:t>
      </w:r>
      <w:r>
        <w:rPr>
          <w:b/>
          <w:color w:val="000000"/>
          <w:sz w:val="24"/>
          <w:szCs w:val="24"/>
        </w:rPr>
        <w:t>完成人合作关系说明</w:t>
      </w:r>
    </w:p>
    <w:p>
      <w:pPr>
        <w:jc w:val="center"/>
        <w:rPr>
          <w:b/>
          <w:color w:val="000000"/>
          <w:sz w:val="24"/>
          <w:szCs w:val="24"/>
        </w:rPr>
      </w:pPr>
      <w:r>
        <w:rPr>
          <w:b/>
          <w:color w:val="000000"/>
          <w:sz w:val="24"/>
          <w:szCs w:val="24"/>
        </w:rPr>
        <w:t>完成人合作关系情况汇总表</w:t>
      </w:r>
    </w:p>
    <w:tbl>
      <w:tblPr>
        <w:tblStyle w:val="23"/>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3969"/>
        <w:gridCol w:w="1843"/>
        <w:gridCol w:w="3118"/>
        <w:gridCol w:w="1985"/>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 w:hRule="atLeast"/>
        </w:trPr>
        <w:tc>
          <w:tcPr>
            <w:tcW w:w="817" w:type="dxa"/>
            <w:vAlign w:val="center"/>
          </w:tcPr>
          <w:p>
            <w:pPr>
              <w:jc w:val="center"/>
              <w:rPr>
                <w:color w:val="0D0D0D"/>
                <w:sz w:val="18"/>
                <w:szCs w:val="18"/>
              </w:rPr>
            </w:pPr>
            <w:r>
              <w:rPr>
                <w:rFonts w:hint="eastAsia"/>
                <w:color w:val="0D0D0D"/>
                <w:sz w:val="18"/>
                <w:szCs w:val="18"/>
              </w:rPr>
              <w:t>序号</w:t>
            </w:r>
          </w:p>
        </w:tc>
        <w:tc>
          <w:tcPr>
            <w:tcW w:w="1276" w:type="dxa"/>
            <w:vAlign w:val="center"/>
          </w:tcPr>
          <w:p>
            <w:pPr>
              <w:jc w:val="center"/>
              <w:rPr>
                <w:color w:val="0D0D0D"/>
                <w:sz w:val="18"/>
                <w:szCs w:val="18"/>
              </w:rPr>
            </w:pPr>
            <w:r>
              <w:rPr>
                <w:rFonts w:hint="eastAsia"/>
                <w:color w:val="0D0D0D"/>
                <w:sz w:val="18"/>
                <w:szCs w:val="18"/>
              </w:rPr>
              <w:t>合作方式</w:t>
            </w:r>
          </w:p>
        </w:tc>
        <w:tc>
          <w:tcPr>
            <w:tcW w:w="3969" w:type="dxa"/>
            <w:vAlign w:val="center"/>
          </w:tcPr>
          <w:p>
            <w:pPr>
              <w:jc w:val="center"/>
              <w:rPr>
                <w:color w:val="0D0D0D"/>
                <w:sz w:val="18"/>
                <w:szCs w:val="18"/>
              </w:rPr>
            </w:pPr>
            <w:r>
              <w:rPr>
                <w:rFonts w:hint="eastAsia"/>
                <w:color w:val="0D0D0D"/>
                <w:sz w:val="18"/>
                <w:szCs w:val="18"/>
              </w:rPr>
              <w:t>合作者/项目排名</w:t>
            </w:r>
          </w:p>
        </w:tc>
        <w:tc>
          <w:tcPr>
            <w:tcW w:w="1843" w:type="dxa"/>
            <w:vAlign w:val="center"/>
          </w:tcPr>
          <w:p>
            <w:pPr>
              <w:jc w:val="center"/>
              <w:rPr>
                <w:color w:val="0D0D0D"/>
                <w:sz w:val="18"/>
                <w:szCs w:val="18"/>
              </w:rPr>
            </w:pPr>
            <w:r>
              <w:rPr>
                <w:rFonts w:hint="eastAsia"/>
                <w:color w:val="0D0D0D"/>
                <w:sz w:val="18"/>
                <w:szCs w:val="18"/>
              </w:rPr>
              <w:t>合作时间</w:t>
            </w:r>
          </w:p>
        </w:tc>
        <w:tc>
          <w:tcPr>
            <w:tcW w:w="3118" w:type="dxa"/>
            <w:vAlign w:val="center"/>
          </w:tcPr>
          <w:p>
            <w:pPr>
              <w:jc w:val="center"/>
              <w:rPr>
                <w:color w:val="0D0D0D"/>
                <w:sz w:val="18"/>
                <w:szCs w:val="18"/>
              </w:rPr>
            </w:pPr>
            <w:r>
              <w:rPr>
                <w:rFonts w:hint="eastAsia"/>
                <w:color w:val="0D0D0D"/>
                <w:sz w:val="18"/>
                <w:szCs w:val="18"/>
              </w:rPr>
              <w:t>合作成果</w:t>
            </w:r>
          </w:p>
        </w:tc>
        <w:tc>
          <w:tcPr>
            <w:tcW w:w="1985" w:type="dxa"/>
            <w:vAlign w:val="center"/>
          </w:tcPr>
          <w:p>
            <w:pPr>
              <w:jc w:val="center"/>
              <w:rPr>
                <w:color w:val="0D0D0D"/>
                <w:sz w:val="18"/>
                <w:szCs w:val="18"/>
              </w:rPr>
            </w:pPr>
            <w:r>
              <w:rPr>
                <w:rFonts w:hint="eastAsia"/>
                <w:color w:val="0D0D0D"/>
                <w:sz w:val="18"/>
                <w:szCs w:val="18"/>
              </w:rPr>
              <w:t>证明材料</w:t>
            </w:r>
          </w:p>
        </w:tc>
        <w:tc>
          <w:tcPr>
            <w:tcW w:w="992" w:type="dxa"/>
            <w:vAlign w:val="center"/>
          </w:tcPr>
          <w:p>
            <w:pPr>
              <w:jc w:val="center"/>
              <w:rPr>
                <w:color w:val="0D0D0D"/>
                <w:sz w:val="18"/>
                <w:szCs w:val="18"/>
              </w:rPr>
            </w:pPr>
            <w:r>
              <w:rPr>
                <w:rFonts w:hint="eastAsia"/>
                <w:color w:val="0D0D0D"/>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jc w:val="center"/>
              <w:rPr>
                <w:color w:val="0D0D0D"/>
                <w:sz w:val="18"/>
                <w:szCs w:val="18"/>
              </w:rPr>
            </w:pPr>
            <w:r>
              <w:rPr>
                <w:rFonts w:hint="eastAsia"/>
                <w:color w:val="0D0D0D"/>
                <w:sz w:val="18"/>
                <w:szCs w:val="18"/>
              </w:rPr>
              <w:t>1</w:t>
            </w:r>
          </w:p>
        </w:tc>
        <w:tc>
          <w:tcPr>
            <w:tcW w:w="1276" w:type="dxa"/>
            <w:vAlign w:val="center"/>
          </w:tcPr>
          <w:p>
            <w:pPr>
              <w:jc w:val="center"/>
              <w:rPr>
                <w:color w:val="0D0D0D"/>
                <w:sz w:val="18"/>
                <w:szCs w:val="18"/>
              </w:rPr>
            </w:pPr>
            <w:r>
              <w:rPr>
                <w:rFonts w:hint="eastAsia"/>
                <w:color w:val="0D0D0D"/>
                <w:sz w:val="18"/>
                <w:szCs w:val="18"/>
              </w:rPr>
              <w:t>共同立项</w:t>
            </w:r>
          </w:p>
        </w:tc>
        <w:tc>
          <w:tcPr>
            <w:tcW w:w="3969" w:type="dxa"/>
            <w:vAlign w:val="center"/>
          </w:tcPr>
          <w:p>
            <w:pPr>
              <w:jc w:val="center"/>
              <w:rPr>
                <w:color w:val="0D0D0D"/>
                <w:sz w:val="18"/>
                <w:szCs w:val="18"/>
              </w:rPr>
            </w:pPr>
            <w:r>
              <w:rPr>
                <w:rFonts w:hint="eastAsia"/>
                <w:color w:val="0D0D0D"/>
                <w:sz w:val="18"/>
                <w:szCs w:val="18"/>
              </w:rPr>
              <w:t>李爱民</w:t>
            </w:r>
            <w:r>
              <w:rPr>
                <w:color w:val="0D0D0D"/>
                <w:sz w:val="18"/>
                <w:szCs w:val="18"/>
              </w:rPr>
              <w:t>(1)</w:t>
            </w:r>
            <w:r>
              <w:rPr>
                <w:rFonts w:hint="eastAsia"/>
                <w:color w:val="0D0D0D"/>
                <w:sz w:val="18"/>
                <w:szCs w:val="18"/>
              </w:rPr>
              <w:t>、唐琤琤</w:t>
            </w:r>
            <w:r>
              <w:rPr>
                <w:color w:val="0D0D0D"/>
                <w:sz w:val="18"/>
                <w:szCs w:val="18"/>
              </w:rPr>
              <w:t>(2)</w:t>
            </w:r>
            <w:r>
              <w:rPr>
                <w:rFonts w:hint="eastAsia"/>
                <w:color w:val="0D0D0D"/>
                <w:sz w:val="18"/>
                <w:szCs w:val="18"/>
              </w:rPr>
              <w:t>、侯德藻</w:t>
            </w:r>
            <w:r>
              <w:rPr>
                <w:color w:val="0D0D0D"/>
                <w:sz w:val="18"/>
                <w:szCs w:val="18"/>
              </w:rPr>
              <w:t>(4)</w:t>
            </w:r>
            <w:r>
              <w:rPr>
                <w:rFonts w:hint="eastAsia"/>
                <w:color w:val="0D0D0D"/>
                <w:sz w:val="18"/>
                <w:szCs w:val="18"/>
              </w:rPr>
              <w:t>、李长城</w:t>
            </w:r>
            <w:r>
              <w:rPr>
                <w:color w:val="0D0D0D"/>
                <w:sz w:val="18"/>
                <w:szCs w:val="18"/>
              </w:rPr>
              <w:t>(7)</w:t>
            </w:r>
          </w:p>
        </w:tc>
        <w:tc>
          <w:tcPr>
            <w:tcW w:w="1843" w:type="dxa"/>
            <w:vAlign w:val="center"/>
          </w:tcPr>
          <w:p>
            <w:pPr>
              <w:jc w:val="center"/>
              <w:rPr>
                <w:color w:val="0D0D0D"/>
                <w:sz w:val="18"/>
                <w:szCs w:val="18"/>
              </w:rPr>
            </w:pPr>
            <w:r>
              <w:rPr>
                <w:color w:val="0D0D0D"/>
                <w:sz w:val="18"/>
                <w:szCs w:val="18"/>
              </w:rPr>
              <w:t>2009.01-</w:t>
            </w:r>
          </w:p>
          <w:p>
            <w:pPr>
              <w:jc w:val="center"/>
              <w:rPr>
                <w:color w:val="0D0D0D"/>
                <w:sz w:val="18"/>
                <w:szCs w:val="18"/>
              </w:rPr>
            </w:pPr>
            <w:r>
              <w:rPr>
                <w:color w:val="0D0D0D"/>
                <w:sz w:val="18"/>
                <w:szCs w:val="18"/>
              </w:rPr>
              <w:t>2013.12</w:t>
            </w:r>
          </w:p>
        </w:tc>
        <w:tc>
          <w:tcPr>
            <w:tcW w:w="3118" w:type="dxa"/>
            <w:vAlign w:val="center"/>
          </w:tcPr>
          <w:p>
            <w:pPr>
              <w:jc w:val="center"/>
              <w:rPr>
                <w:color w:val="0D0D0D"/>
                <w:sz w:val="18"/>
                <w:szCs w:val="18"/>
              </w:rPr>
            </w:pPr>
            <w:r>
              <w:rPr>
                <w:rFonts w:hint="eastAsia"/>
                <w:color w:val="0D0D0D"/>
                <w:sz w:val="18"/>
                <w:szCs w:val="18"/>
              </w:rPr>
              <w:t>山区公路网安全保障技术体系研究与示范工程</w:t>
            </w:r>
          </w:p>
        </w:tc>
        <w:tc>
          <w:tcPr>
            <w:tcW w:w="1985" w:type="dxa"/>
            <w:vAlign w:val="center"/>
          </w:tcPr>
          <w:p>
            <w:pPr>
              <w:jc w:val="center"/>
              <w:rPr>
                <w:color w:val="0D0D0D"/>
                <w:sz w:val="18"/>
                <w:szCs w:val="18"/>
              </w:rPr>
            </w:pPr>
            <w:r>
              <w:rPr>
                <w:rFonts w:hint="eastAsia"/>
                <w:color w:val="0D0D0D"/>
                <w:sz w:val="18"/>
                <w:szCs w:val="18"/>
              </w:rPr>
              <w:t>鉴定证书</w:t>
            </w:r>
          </w:p>
        </w:tc>
        <w:tc>
          <w:tcPr>
            <w:tcW w:w="992" w:type="dxa"/>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vAlign w:val="center"/>
          </w:tcPr>
          <w:p>
            <w:pPr>
              <w:jc w:val="center"/>
              <w:rPr>
                <w:color w:val="0D0D0D"/>
                <w:sz w:val="18"/>
                <w:szCs w:val="18"/>
              </w:rPr>
            </w:pPr>
            <w:r>
              <w:rPr>
                <w:rFonts w:hint="eastAsia"/>
                <w:color w:val="0D0D0D"/>
                <w:sz w:val="18"/>
                <w:szCs w:val="18"/>
              </w:rPr>
              <w:t>2</w:t>
            </w:r>
          </w:p>
        </w:tc>
        <w:tc>
          <w:tcPr>
            <w:tcW w:w="1276" w:type="dxa"/>
            <w:vAlign w:val="center"/>
          </w:tcPr>
          <w:p>
            <w:pPr>
              <w:jc w:val="center"/>
              <w:rPr>
                <w:color w:val="0D0D0D"/>
                <w:sz w:val="18"/>
                <w:szCs w:val="18"/>
              </w:rPr>
            </w:pPr>
            <w:r>
              <w:rPr>
                <w:rFonts w:hint="eastAsia"/>
                <w:color w:val="0D0D0D"/>
                <w:sz w:val="18"/>
                <w:szCs w:val="18"/>
              </w:rPr>
              <w:t>共同获奖</w:t>
            </w:r>
          </w:p>
        </w:tc>
        <w:tc>
          <w:tcPr>
            <w:tcW w:w="3969" w:type="dxa"/>
            <w:vAlign w:val="center"/>
          </w:tcPr>
          <w:p>
            <w:pPr>
              <w:jc w:val="center"/>
              <w:rPr>
                <w:color w:val="0D0D0D"/>
                <w:sz w:val="18"/>
                <w:szCs w:val="18"/>
              </w:rPr>
            </w:pPr>
            <w:r>
              <w:rPr>
                <w:rFonts w:hint="eastAsia"/>
                <w:color w:val="0D0D0D"/>
                <w:sz w:val="18"/>
                <w:szCs w:val="18"/>
              </w:rPr>
              <w:t>何勇</w:t>
            </w:r>
            <w:r>
              <w:rPr>
                <w:color w:val="0D0D0D"/>
                <w:sz w:val="18"/>
                <w:szCs w:val="18"/>
              </w:rPr>
              <w:t>(1)</w:t>
            </w:r>
            <w:r>
              <w:rPr>
                <w:rFonts w:hint="eastAsia"/>
                <w:color w:val="0D0D0D"/>
                <w:sz w:val="18"/>
                <w:szCs w:val="18"/>
              </w:rPr>
              <w:t>、高海龙</w:t>
            </w:r>
            <w:r>
              <w:rPr>
                <w:color w:val="0D0D0D"/>
                <w:sz w:val="18"/>
                <w:szCs w:val="18"/>
              </w:rPr>
              <w:t>(2)</w:t>
            </w:r>
            <w:r>
              <w:rPr>
                <w:rFonts w:hint="eastAsia"/>
                <w:color w:val="0D0D0D"/>
                <w:sz w:val="18"/>
                <w:szCs w:val="18"/>
              </w:rPr>
              <w:t>、唐琤琤</w:t>
            </w:r>
            <w:r>
              <w:rPr>
                <w:color w:val="0D0D0D"/>
                <w:sz w:val="18"/>
                <w:szCs w:val="18"/>
              </w:rPr>
              <w:t>(3)</w:t>
            </w:r>
            <w:r>
              <w:rPr>
                <w:rFonts w:hint="eastAsia"/>
                <w:color w:val="0D0D0D"/>
                <w:sz w:val="18"/>
                <w:szCs w:val="18"/>
              </w:rPr>
              <w:t>、张高强</w:t>
            </w:r>
            <w:r>
              <w:rPr>
                <w:color w:val="0D0D0D"/>
                <w:sz w:val="18"/>
                <w:szCs w:val="18"/>
              </w:rPr>
              <w:t>(4)</w:t>
            </w:r>
            <w:r>
              <w:rPr>
                <w:rFonts w:hint="eastAsia"/>
                <w:color w:val="0D0D0D"/>
                <w:sz w:val="18"/>
                <w:szCs w:val="18"/>
              </w:rPr>
              <w:t>、侯德藻</w:t>
            </w:r>
            <w:r>
              <w:rPr>
                <w:color w:val="0D0D0D"/>
                <w:sz w:val="18"/>
                <w:szCs w:val="18"/>
              </w:rPr>
              <w:t>(5)</w:t>
            </w:r>
          </w:p>
        </w:tc>
        <w:tc>
          <w:tcPr>
            <w:tcW w:w="1843" w:type="dxa"/>
            <w:vAlign w:val="center"/>
          </w:tcPr>
          <w:p>
            <w:pPr>
              <w:jc w:val="center"/>
              <w:rPr>
                <w:color w:val="0D0D0D"/>
                <w:sz w:val="18"/>
                <w:szCs w:val="18"/>
              </w:rPr>
            </w:pPr>
            <w:r>
              <w:rPr>
                <w:color w:val="0D0D0D"/>
                <w:sz w:val="18"/>
                <w:szCs w:val="18"/>
              </w:rPr>
              <w:t>2004.01-</w:t>
            </w:r>
          </w:p>
          <w:p>
            <w:pPr>
              <w:jc w:val="center"/>
              <w:rPr>
                <w:color w:val="0D0D0D"/>
                <w:sz w:val="18"/>
                <w:szCs w:val="18"/>
              </w:rPr>
            </w:pPr>
            <w:r>
              <w:rPr>
                <w:color w:val="0D0D0D"/>
                <w:sz w:val="18"/>
                <w:szCs w:val="18"/>
              </w:rPr>
              <w:t>2006.05</w:t>
            </w:r>
          </w:p>
        </w:tc>
        <w:tc>
          <w:tcPr>
            <w:tcW w:w="3118" w:type="dxa"/>
            <w:vAlign w:val="center"/>
          </w:tcPr>
          <w:p>
            <w:pPr>
              <w:jc w:val="center"/>
              <w:rPr>
                <w:color w:val="0D0D0D"/>
                <w:sz w:val="18"/>
                <w:szCs w:val="18"/>
              </w:rPr>
            </w:pPr>
            <w:r>
              <w:rPr>
                <w:rFonts w:hint="eastAsia"/>
                <w:color w:val="0D0D0D"/>
                <w:sz w:val="18"/>
                <w:szCs w:val="18"/>
              </w:rPr>
              <w:t>公路安全保障工程</w:t>
            </w:r>
            <w:r>
              <w:rPr>
                <w:color w:val="0D0D0D"/>
                <w:sz w:val="18"/>
                <w:szCs w:val="18"/>
              </w:rPr>
              <w:t>(Highway Safety Enhancement Project )</w:t>
            </w:r>
          </w:p>
        </w:tc>
        <w:tc>
          <w:tcPr>
            <w:tcW w:w="1985" w:type="dxa"/>
            <w:vAlign w:val="center"/>
          </w:tcPr>
          <w:p>
            <w:pPr>
              <w:jc w:val="center"/>
              <w:rPr>
                <w:color w:val="0D0D0D"/>
                <w:sz w:val="18"/>
                <w:szCs w:val="18"/>
              </w:rPr>
            </w:pPr>
            <w:r>
              <w:rPr>
                <w:rFonts w:hint="eastAsia"/>
                <w:color w:val="0D0D0D"/>
                <w:sz w:val="18"/>
                <w:szCs w:val="18"/>
              </w:rPr>
              <w:t>获奖证书</w:t>
            </w:r>
          </w:p>
        </w:tc>
        <w:tc>
          <w:tcPr>
            <w:tcW w:w="992" w:type="dxa"/>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vAlign w:val="center"/>
          </w:tcPr>
          <w:p>
            <w:pPr>
              <w:jc w:val="center"/>
              <w:rPr>
                <w:color w:val="0D0D0D"/>
                <w:sz w:val="18"/>
                <w:szCs w:val="18"/>
              </w:rPr>
            </w:pPr>
            <w:r>
              <w:rPr>
                <w:rFonts w:hint="eastAsia"/>
                <w:color w:val="0D0D0D"/>
                <w:sz w:val="18"/>
                <w:szCs w:val="18"/>
              </w:rPr>
              <w:t>3</w:t>
            </w:r>
          </w:p>
        </w:tc>
        <w:tc>
          <w:tcPr>
            <w:tcW w:w="1276" w:type="dxa"/>
            <w:vAlign w:val="center"/>
          </w:tcPr>
          <w:p>
            <w:pPr>
              <w:jc w:val="center"/>
              <w:rPr>
                <w:color w:val="0D0D0D"/>
                <w:sz w:val="18"/>
                <w:szCs w:val="18"/>
              </w:rPr>
            </w:pPr>
            <w:r>
              <w:rPr>
                <w:rFonts w:hint="eastAsia"/>
                <w:color w:val="0D0D0D"/>
                <w:sz w:val="18"/>
                <w:szCs w:val="18"/>
              </w:rPr>
              <w:t>共同获奖</w:t>
            </w:r>
          </w:p>
        </w:tc>
        <w:tc>
          <w:tcPr>
            <w:tcW w:w="3969" w:type="dxa"/>
            <w:vAlign w:val="center"/>
          </w:tcPr>
          <w:p>
            <w:pPr>
              <w:jc w:val="center"/>
              <w:rPr>
                <w:color w:val="0D0D0D"/>
                <w:sz w:val="18"/>
                <w:szCs w:val="18"/>
              </w:rPr>
            </w:pPr>
            <w:r>
              <w:rPr>
                <w:rFonts w:hint="eastAsia"/>
                <w:color w:val="0D0D0D"/>
                <w:sz w:val="18"/>
                <w:szCs w:val="18"/>
              </w:rPr>
              <w:t>唐琤琤</w:t>
            </w:r>
            <w:r>
              <w:rPr>
                <w:color w:val="0D0D0D"/>
                <w:sz w:val="18"/>
                <w:szCs w:val="18"/>
              </w:rPr>
              <w:t>(1)</w:t>
            </w:r>
            <w:r>
              <w:rPr>
                <w:rFonts w:hint="eastAsia"/>
                <w:color w:val="0D0D0D"/>
                <w:sz w:val="18"/>
                <w:szCs w:val="18"/>
              </w:rPr>
              <w:t>、周荣贵</w:t>
            </w:r>
            <w:r>
              <w:rPr>
                <w:color w:val="0D0D0D"/>
                <w:sz w:val="18"/>
                <w:szCs w:val="18"/>
              </w:rPr>
              <w:t>(2)</w:t>
            </w:r>
          </w:p>
        </w:tc>
        <w:tc>
          <w:tcPr>
            <w:tcW w:w="1843" w:type="dxa"/>
            <w:vAlign w:val="center"/>
          </w:tcPr>
          <w:p>
            <w:pPr>
              <w:jc w:val="center"/>
              <w:rPr>
                <w:color w:val="0D0D0D"/>
                <w:sz w:val="18"/>
                <w:szCs w:val="18"/>
              </w:rPr>
            </w:pPr>
            <w:r>
              <w:rPr>
                <w:color w:val="0D0D0D"/>
                <w:sz w:val="18"/>
                <w:szCs w:val="18"/>
              </w:rPr>
              <w:t>2007.01-</w:t>
            </w:r>
          </w:p>
          <w:p>
            <w:pPr>
              <w:jc w:val="center"/>
              <w:rPr>
                <w:color w:val="0D0D0D"/>
                <w:sz w:val="18"/>
                <w:szCs w:val="18"/>
              </w:rPr>
            </w:pPr>
            <w:r>
              <w:rPr>
                <w:color w:val="0D0D0D"/>
                <w:sz w:val="18"/>
                <w:szCs w:val="18"/>
              </w:rPr>
              <w:t>2013.12</w:t>
            </w:r>
          </w:p>
        </w:tc>
        <w:tc>
          <w:tcPr>
            <w:tcW w:w="3118" w:type="dxa"/>
            <w:vAlign w:val="center"/>
          </w:tcPr>
          <w:p>
            <w:pPr>
              <w:jc w:val="center"/>
              <w:rPr>
                <w:color w:val="0D0D0D"/>
                <w:sz w:val="18"/>
                <w:szCs w:val="18"/>
              </w:rPr>
            </w:pPr>
            <w:r>
              <w:rPr>
                <w:rFonts w:hint="eastAsia"/>
                <w:color w:val="0D0D0D"/>
                <w:sz w:val="18"/>
                <w:szCs w:val="18"/>
              </w:rPr>
              <w:t>中国路网风险评估系统（</w:t>
            </w:r>
            <w:r>
              <w:rPr>
                <w:color w:val="0D0D0D"/>
                <w:sz w:val="18"/>
                <w:szCs w:val="18"/>
              </w:rPr>
              <w:t>ChinaRAP</w:t>
            </w:r>
            <w:r>
              <w:rPr>
                <w:rFonts w:hint="eastAsia"/>
                <w:color w:val="0D0D0D"/>
                <w:sz w:val="18"/>
                <w:szCs w:val="18"/>
              </w:rPr>
              <w:t>）</w:t>
            </w:r>
          </w:p>
        </w:tc>
        <w:tc>
          <w:tcPr>
            <w:tcW w:w="1985" w:type="dxa"/>
            <w:vAlign w:val="center"/>
          </w:tcPr>
          <w:p>
            <w:pPr>
              <w:jc w:val="center"/>
              <w:rPr>
                <w:color w:val="0D0D0D"/>
                <w:sz w:val="18"/>
                <w:szCs w:val="18"/>
              </w:rPr>
            </w:pPr>
            <w:r>
              <w:rPr>
                <w:rFonts w:hint="eastAsia"/>
                <w:color w:val="0D0D0D"/>
                <w:sz w:val="18"/>
                <w:szCs w:val="18"/>
              </w:rPr>
              <w:t>获奖证书</w:t>
            </w:r>
          </w:p>
        </w:tc>
        <w:tc>
          <w:tcPr>
            <w:tcW w:w="992" w:type="dxa"/>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4</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共同获奖</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李爱民</w:t>
            </w:r>
            <w:r>
              <w:rPr>
                <w:color w:val="0D0D0D"/>
                <w:sz w:val="18"/>
                <w:szCs w:val="18"/>
              </w:rPr>
              <w:t>(1)</w:t>
            </w:r>
            <w:r>
              <w:rPr>
                <w:rFonts w:hint="eastAsia"/>
                <w:color w:val="0D0D0D"/>
                <w:sz w:val="18"/>
                <w:szCs w:val="18"/>
              </w:rPr>
              <w:t>、唐琤琤</w:t>
            </w:r>
            <w:r>
              <w:rPr>
                <w:color w:val="0D0D0D"/>
                <w:sz w:val="18"/>
                <w:szCs w:val="18"/>
              </w:rPr>
              <w:t>(2)</w:t>
            </w:r>
            <w:r>
              <w:rPr>
                <w:rFonts w:hint="eastAsia"/>
                <w:color w:val="0D0D0D"/>
                <w:sz w:val="18"/>
                <w:szCs w:val="18"/>
              </w:rPr>
              <w:t>、侯德藻</w:t>
            </w:r>
            <w:r>
              <w:rPr>
                <w:color w:val="0D0D0D"/>
                <w:sz w:val="18"/>
                <w:szCs w:val="18"/>
              </w:rPr>
              <w:t>(4)</w:t>
            </w:r>
            <w:r>
              <w:rPr>
                <w:rFonts w:hint="eastAsia"/>
                <w:color w:val="0D0D0D"/>
                <w:sz w:val="18"/>
                <w:szCs w:val="18"/>
              </w:rPr>
              <w:t>、李长城</w:t>
            </w:r>
            <w:r>
              <w:rPr>
                <w:color w:val="0D0D0D"/>
                <w:sz w:val="18"/>
                <w:szCs w:val="18"/>
              </w:rPr>
              <w:t>(7)</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2009.01-</w:t>
            </w:r>
          </w:p>
          <w:p>
            <w:pPr>
              <w:jc w:val="center"/>
              <w:rPr>
                <w:color w:val="0D0D0D"/>
                <w:sz w:val="18"/>
                <w:szCs w:val="18"/>
              </w:rPr>
            </w:pPr>
            <w:r>
              <w:rPr>
                <w:color w:val="0D0D0D"/>
                <w:sz w:val="18"/>
                <w:szCs w:val="18"/>
              </w:rPr>
              <w:t>2013.12</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山区公路网安全保障技术体系研究与示范工程</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获奖证书</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共同获奖</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刘会学</w:t>
            </w:r>
            <w:r>
              <w:rPr>
                <w:color w:val="0D0D0D"/>
                <w:sz w:val="18"/>
                <w:szCs w:val="18"/>
              </w:rPr>
              <w:t>(1)</w:t>
            </w:r>
            <w:r>
              <w:rPr>
                <w:rFonts w:hint="eastAsia"/>
                <w:color w:val="0D0D0D"/>
                <w:sz w:val="18"/>
                <w:szCs w:val="18"/>
              </w:rPr>
              <w:t>、何勇</w:t>
            </w:r>
            <w:r>
              <w:rPr>
                <w:color w:val="0D0D0D"/>
                <w:sz w:val="18"/>
                <w:szCs w:val="18"/>
              </w:rPr>
              <w:t>(2)</w:t>
            </w:r>
            <w:r>
              <w:rPr>
                <w:rFonts w:hint="eastAsia"/>
                <w:color w:val="0D0D0D"/>
                <w:sz w:val="18"/>
                <w:szCs w:val="18"/>
              </w:rPr>
              <w:t>、李爱民</w:t>
            </w:r>
            <w:r>
              <w:rPr>
                <w:color w:val="0D0D0D"/>
                <w:sz w:val="18"/>
                <w:szCs w:val="18"/>
              </w:rPr>
              <w:t>(4)</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2008.01-</w:t>
            </w:r>
          </w:p>
          <w:p>
            <w:pPr>
              <w:jc w:val="center"/>
              <w:rPr>
                <w:color w:val="0D0D0D"/>
                <w:sz w:val="18"/>
                <w:szCs w:val="18"/>
              </w:rPr>
            </w:pPr>
            <w:r>
              <w:rPr>
                <w:color w:val="0D0D0D"/>
                <w:sz w:val="18"/>
                <w:szCs w:val="18"/>
              </w:rPr>
              <w:t>2011.12</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国家高速公路网指路体系的研究与应用</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获奖证书</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6</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共同获奖</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张高强</w:t>
            </w:r>
            <w:r>
              <w:rPr>
                <w:color w:val="0D0D0D"/>
                <w:sz w:val="18"/>
                <w:szCs w:val="18"/>
              </w:rPr>
              <w:t>(2)</w:t>
            </w:r>
            <w:r>
              <w:rPr>
                <w:rFonts w:hint="eastAsia"/>
                <w:color w:val="0D0D0D"/>
                <w:sz w:val="18"/>
                <w:szCs w:val="18"/>
              </w:rPr>
              <w:t>、何勇</w:t>
            </w:r>
            <w:r>
              <w:rPr>
                <w:color w:val="0D0D0D"/>
                <w:sz w:val="18"/>
                <w:szCs w:val="18"/>
              </w:rPr>
              <w:t>(4)</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2007.01-</w:t>
            </w:r>
          </w:p>
          <w:p>
            <w:pPr>
              <w:jc w:val="center"/>
              <w:rPr>
                <w:color w:val="0D0D0D"/>
                <w:sz w:val="18"/>
                <w:szCs w:val="18"/>
              </w:rPr>
            </w:pPr>
            <w:r>
              <w:rPr>
                <w:color w:val="0D0D0D"/>
                <w:sz w:val="18"/>
                <w:szCs w:val="18"/>
              </w:rPr>
              <w:t>2010.12</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北京</w:t>
            </w:r>
            <w:r>
              <w:rPr>
                <w:color w:val="0D0D0D"/>
                <w:sz w:val="18"/>
                <w:szCs w:val="18"/>
              </w:rPr>
              <w:t>2008</w:t>
            </w:r>
            <w:r>
              <w:rPr>
                <w:rFonts w:hint="eastAsia"/>
                <w:color w:val="0D0D0D"/>
                <w:sz w:val="18"/>
                <w:szCs w:val="18"/>
              </w:rPr>
              <w:t>年奥运会残奥会交通指路标志系统研究</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获奖证书</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7</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共同获奖</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高海龙</w:t>
            </w:r>
            <w:r>
              <w:rPr>
                <w:color w:val="0D0D0D"/>
                <w:sz w:val="18"/>
                <w:szCs w:val="18"/>
              </w:rPr>
              <w:t>(3)</w:t>
            </w:r>
            <w:r>
              <w:rPr>
                <w:rFonts w:hint="eastAsia"/>
                <w:color w:val="0D0D0D"/>
                <w:sz w:val="18"/>
                <w:szCs w:val="18"/>
              </w:rPr>
              <w:t>、李长城</w:t>
            </w:r>
            <w:r>
              <w:rPr>
                <w:color w:val="0D0D0D"/>
                <w:sz w:val="18"/>
                <w:szCs w:val="18"/>
              </w:rPr>
              <w:t>(15)</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2007.01-</w:t>
            </w:r>
          </w:p>
          <w:p>
            <w:pPr>
              <w:jc w:val="center"/>
              <w:rPr>
                <w:color w:val="0D0D0D"/>
                <w:sz w:val="18"/>
                <w:szCs w:val="18"/>
              </w:rPr>
            </w:pPr>
            <w:r>
              <w:rPr>
                <w:color w:val="0D0D0D"/>
                <w:sz w:val="18"/>
                <w:szCs w:val="18"/>
              </w:rPr>
              <w:t>2013.12</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忻阜高速公路建设与安全运营管理关键技术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获奖证书</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8</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规范合著</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刘会学</w:t>
            </w:r>
            <w:r>
              <w:rPr>
                <w:color w:val="0D0D0D"/>
                <w:sz w:val="18"/>
                <w:szCs w:val="18"/>
              </w:rPr>
              <w:t>(1)</w:t>
            </w:r>
            <w:r>
              <w:rPr>
                <w:rFonts w:hint="eastAsia"/>
                <w:color w:val="0D0D0D"/>
                <w:sz w:val="18"/>
                <w:szCs w:val="18"/>
              </w:rPr>
              <w:t>、李爱民</w:t>
            </w:r>
            <w:r>
              <w:rPr>
                <w:color w:val="0D0D0D"/>
                <w:sz w:val="18"/>
                <w:szCs w:val="18"/>
              </w:rPr>
              <w:t>(2)</w:t>
            </w:r>
            <w:r>
              <w:rPr>
                <w:rFonts w:hint="eastAsia"/>
                <w:color w:val="0D0D0D"/>
                <w:sz w:val="18"/>
                <w:szCs w:val="18"/>
              </w:rPr>
              <w:t>、唐琤琤</w:t>
            </w:r>
            <w:r>
              <w:rPr>
                <w:color w:val="0D0D0D"/>
                <w:sz w:val="18"/>
                <w:szCs w:val="18"/>
              </w:rPr>
              <w:t>(4)</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2004.09-</w:t>
            </w:r>
          </w:p>
          <w:p>
            <w:pPr>
              <w:jc w:val="center"/>
              <w:rPr>
                <w:color w:val="0D0D0D"/>
                <w:sz w:val="18"/>
                <w:szCs w:val="18"/>
              </w:rPr>
            </w:pPr>
            <w:r>
              <w:rPr>
                <w:color w:val="0D0D0D"/>
                <w:sz w:val="18"/>
                <w:szCs w:val="18"/>
              </w:rPr>
              <w:t>2013.12</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JTG D81-2006</w:t>
            </w:r>
            <w:r>
              <w:rPr>
                <w:rFonts w:hint="eastAsia"/>
                <w:color w:val="0D0D0D"/>
                <w:sz w:val="18"/>
                <w:szCs w:val="18"/>
              </w:rPr>
              <w:t>《公路交通安全设施设计规范》</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标准规范</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9</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规范合著</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唐琤琤</w:t>
            </w:r>
            <w:r>
              <w:rPr>
                <w:color w:val="0D0D0D"/>
                <w:sz w:val="18"/>
                <w:szCs w:val="18"/>
              </w:rPr>
              <w:t>(1)</w:t>
            </w:r>
            <w:r>
              <w:rPr>
                <w:rFonts w:hint="eastAsia"/>
                <w:color w:val="0D0D0D"/>
                <w:sz w:val="18"/>
                <w:szCs w:val="18"/>
              </w:rPr>
              <w:t>、何勇</w:t>
            </w:r>
            <w:r>
              <w:rPr>
                <w:color w:val="0D0D0D"/>
                <w:sz w:val="18"/>
                <w:szCs w:val="18"/>
              </w:rPr>
              <w:t>(2)</w:t>
            </w:r>
            <w:r>
              <w:rPr>
                <w:rFonts w:hint="eastAsia"/>
                <w:color w:val="0D0D0D"/>
                <w:sz w:val="18"/>
                <w:szCs w:val="18"/>
              </w:rPr>
              <w:t>、高海龙</w:t>
            </w:r>
            <w:r>
              <w:rPr>
                <w:color w:val="0D0D0D"/>
                <w:sz w:val="18"/>
                <w:szCs w:val="18"/>
              </w:rPr>
              <w:t>(3)</w:t>
            </w:r>
            <w:r>
              <w:rPr>
                <w:rFonts w:hint="eastAsia"/>
                <w:color w:val="0D0D0D"/>
                <w:sz w:val="18"/>
                <w:szCs w:val="18"/>
              </w:rPr>
              <w:t>、侯德藻</w:t>
            </w:r>
            <w:r>
              <w:rPr>
                <w:color w:val="0D0D0D"/>
                <w:sz w:val="18"/>
                <w:szCs w:val="18"/>
              </w:rPr>
              <w:t>(6)</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2006.01-</w:t>
            </w:r>
          </w:p>
          <w:p>
            <w:pPr>
              <w:jc w:val="center"/>
              <w:rPr>
                <w:color w:val="0D0D0D"/>
                <w:sz w:val="18"/>
                <w:szCs w:val="18"/>
              </w:rPr>
            </w:pPr>
            <w:r>
              <w:rPr>
                <w:color w:val="0D0D0D"/>
                <w:sz w:val="18"/>
                <w:szCs w:val="18"/>
              </w:rPr>
              <w:t>2013.12</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GB 5768-2009</w:t>
            </w:r>
            <w:r>
              <w:rPr>
                <w:rFonts w:hint="eastAsia"/>
                <w:color w:val="0D0D0D"/>
                <w:sz w:val="18"/>
                <w:szCs w:val="18"/>
              </w:rPr>
              <w:t>《道路交通标志和标线》</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标准规范</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10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规范合著</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刘会学</w:t>
            </w:r>
            <w:r>
              <w:rPr>
                <w:color w:val="0D0D0D"/>
                <w:sz w:val="18"/>
                <w:szCs w:val="18"/>
              </w:rPr>
              <w:t>(1)</w:t>
            </w:r>
            <w:r>
              <w:rPr>
                <w:rFonts w:hint="eastAsia"/>
                <w:color w:val="0D0D0D"/>
                <w:sz w:val="18"/>
                <w:szCs w:val="18"/>
              </w:rPr>
              <w:t>、唐琤琤</w:t>
            </w:r>
            <w:r>
              <w:rPr>
                <w:color w:val="0D0D0D"/>
                <w:sz w:val="18"/>
                <w:szCs w:val="18"/>
              </w:rPr>
              <w:t>(8)</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2007.05-</w:t>
            </w:r>
          </w:p>
          <w:p>
            <w:pPr>
              <w:jc w:val="center"/>
              <w:rPr>
                <w:color w:val="0D0D0D"/>
                <w:sz w:val="18"/>
                <w:szCs w:val="18"/>
              </w:rPr>
            </w:pPr>
            <w:r>
              <w:rPr>
                <w:color w:val="0D0D0D"/>
                <w:sz w:val="18"/>
                <w:szCs w:val="18"/>
              </w:rPr>
              <w:t>2013.12</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JTG D82-2009</w:t>
            </w:r>
            <w:r>
              <w:rPr>
                <w:rFonts w:hint="eastAsia"/>
                <w:color w:val="0D0D0D"/>
                <w:sz w:val="18"/>
                <w:szCs w:val="18"/>
              </w:rPr>
              <w:t>《公路交通标志和标线设计规范》</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标准规范</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11</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规范合著</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刘会学</w:t>
            </w:r>
            <w:r>
              <w:rPr>
                <w:color w:val="0D0D0D"/>
                <w:sz w:val="18"/>
                <w:szCs w:val="18"/>
              </w:rPr>
              <w:t>(1)</w:t>
            </w:r>
            <w:r>
              <w:rPr>
                <w:rFonts w:hint="eastAsia"/>
                <w:color w:val="0D0D0D"/>
                <w:sz w:val="18"/>
                <w:szCs w:val="18"/>
              </w:rPr>
              <w:t>、李爱民</w:t>
            </w:r>
            <w:r>
              <w:rPr>
                <w:color w:val="0D0D0D"/>
                <w:sz w:val="18"/>
                <w:szCs w:val="18"/>
              </w:rPr>
              <w:t>(2)</w:t>
            </w:r>
            <w:r>
              <w:rPr>
                <w:rFonts w:hint="eastAsia"/>
                <w:color w:val="0D0D0D"/>
                <w:sz w:val="18"/>
                <w:szCs w:val="18"/>
              </w:rPr>
              <w:t>、唐琤琤</w:t>
            </w:r>
            <w:r>
              <w:rPr>
                <w:color w:val="0D0D0D"/>
                <w:sz w:val="18"/>
                <w:szCs w:val="18"/>
              </w:rPr>
              <w:t>(4)</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2004.01-</w:t>
            </w:r>
          </w:p>
          <w:p>
            <w:pPr>
              <w:jc w:val="center"/>
              <w:rPr>
                <w:color w:val="0D0D0D"/>
                <w:sz w:val="18"/>
                <w:szCs w:val="18"/>
              </w:rPr>
            </w:pPr>
            <w:r>
              <w:rPr>
                <w:color w:val="0D0D0D"/>
                <w:sz w:val="18"/>
                <w:szCs w:val="18"/>
              </w:rPr>
              <w:t>2013.12</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JTG/T D81-2006</w:t>
            </w:r>
            <w:r>
              <w:rPr>
                <w:rFonts w:hint="eastAsia"/>
                <w:color w:val="0D0D0D"/>
                <w:sz w:val="18"/>
                <w:szCs w:val="18"/>
              </w:rPr>
              <w:t>《公路交通安全设施设计细则》</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标准规范</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12</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规范合著</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李爱民</w:t>
            </w:r>
            <w:r>
              <w:rPr>
                <w:color w:val="0D0D0D"/>
                <w:sz w:val="18"/>
                <w:szCs w:val="18"/>
              </w:rPr>
              <w:t>(2)</w:t>
            </w:r>
            <w:r>
              <w:rPr>
                <w:rFonts w:hint="eastAsia"/>
                <w:color w:val="0D0D0D"/>
                <w:sz w:val="18"/>
                <w:szCs w:val="18"/>
              </w:rPr>
              <w:t>、李长城（</w:t>
            </w:r>
            <w:r>
              <w:rPr>
                <w:color w:val="0D0D0D"/>
                <w:sz w:val="18"/>
                <w:szCs w:val="18"/>
              </w:rPr>
              <w:t>15</w:t>
            </w:r>
            <w:r>
              <w:rPr>
                <w:rFonts w:hint="eastAsia"/>
                <w:color w:val="0D0D0D"/>
                <w:sz w:val="18"/>
                <w:szCs w:val="18"/>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2008.01-</w:t>
            </w:r>
          </w:p>
          <w:p>
            <w:pPr>
              <w:jc w:val="center"/>
              <w:rPr>
                <w:color w:val="0D0D0D"/>
                <w:sz w:val="18"/>
                <w:szCs w:val="18"/>
              </w:rPr>
            </w:pPr>
            <w:r>
              <w:rPr>
                <w:color w:val="0D0D0D"/>
                <w:sz w:val="18"/>
                <w:szCs w:val="18"/>
              </w:rPr>
              <w:t>2013.12</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交通运输部</w:t>
            </w:r>
            <w:r>
              <w:rPr>
                <w:color w:val="0D0D0D"/>
                <w:sz w:val="18"/>
                <w:szCs w:val="18"/>
              </w:rPr>
              <w:t>2012</w:t>
            </w:r>
            <w:r>
              <w:rPr>
                <w:rFonts w:hint="eastAsia"/>
                <w:color w:val="0D0D0D"/>
                <w:sz w:val="18"/>
                <w:szCs w:val="18"/>
              </w:rPr>
              <w:t>年第</w:t>
            </w:r>
            <w:r>
              <w:rPr>
                <w:color w:val="0D0D0D"/>
                <w:sz w:val="18"/>
                <w:szCs w:val="18"/>
              </w:rPr>
              <w:t>3</w:t>
            </w:r>
            <w:r>
              <w:rPr>
                <w:rFonts w:hint="eastAsia"/>
                <w:color w:val="0D0D0D"/>
                <w:sz w:val="18"/>
                <w:szCs w:val="18"/>
              </w:rPr>
              <w:t>号公告《公路网运行监测与服务暂行技术要求》</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标准规范</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13</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专著合著</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唐琤琤</w:t>
            </w:r>
            <w:r>
              <w:rPr>
                <w:color w:val="0D0D0D"/>
                <w:sz w:val="18"/>
                <w:szCs w:val="18"/>
              </w:rPr>
              <w:t>(1)</w:t>
            </w:r>
            <w:r>
              <w:rPr>
                <w:rFonts w:hint="eastAsia"/>
                <w:color w:val="0D0D0D"/>
                <w:sz w:val="18"/>
                <w:szCs w:val="18"/>
              </w:rPr>
              <w:t>、何勇</w:t>
            </w:r>
            <w:r>
              <w:rPr>
                <w:color w:val="0D0D0D"/>
                <w:sz w:val="18"/>
                <w:szCs w:val="18"/>
              </w:rPr>
              <w:t>(3)</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2006.07-</w:t>
            </w:r>
          </w:p>
          <w:p>
            <w:pPr>
              <w:jc w:val="center"/>
              <w:rPr>
                <w:color w:val="0D0D0D"/>
                <w:sz w:val="18"/>
                <w:szCs w:val="18"/>
              </w:rPr>
            </w:pPr>
            <w:r>
              <w:rPr>
                <w:color w:val="0D0D0D"/>
                <w:sz w:val="18"/>
                <w:szCs w:val="18"/>
              </w:rPr>
              <w:t>2013.12</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道路交通安全评价</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专著</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14</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专著合著</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何勇</w:t>
            </w:r>
            <w:r>
              <w:rPr>
                <w:color w:val="0D0D0D"/>
                <w:sz w:val="18"/>
                <w:szCs w:val="18"/>
              </w:rPr>
              <w:t>(1)</w:t>
            </w:r>
            <w:r>
              <w:rPr>
                <w:rFonts w:hint="eastAsia"/>
                <w:color w:val="0D0D0D"/>
                <w:sz w:val="18"/>
                <w:szCs w:val="18"/>
              </w:rPr>
              <w:t>、唐琤琤</w:t>
            </w:r>
            <w:r>
              <w:rPr>
                <w:color w:val="0D0D0D"/>
                <w:sz w:val="18"/>
                <w:szCs w:val="18"/>
              </w:rPr>
              <w:t>(2)</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2005.12-</w:t>
            </w:r>
          </w:p>
          <w:p>
            <w:pPr>
              <w:jc w:val="center"/>
              <w:rPr>
                <w:color w:val="0D0D0D"/>
                <w:sz w:val="18"/>
                <w:szCs w:val="18"/>
              </w:rPr>
            </w:pPr>
            <w:r>
              <w:rPr>
                <w:color w:val="0D0D0D"/>
                <w:sz w:val="18"/>
                <w:szCs w:val="18"/>
              </w:rPr>
              <w:t>2013.12</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道路交通安全技术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专著</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15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专著合著</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唐琤琤</w:t>
            </w:r>
            <w:r>
              <w:rPr>
                <w:color w:val="0D0D0D"/>
                <w:sz w:val="18"/>
                <w:szCs w:val="18"/>
              </w:rPr>
              <w:t>(1)</w:t>
            </w:r>
            <w:r>
              <w:rPr>
                <w:rFonts w:hint="eastAsia"/>
                <w:color w:val="0D0D0D"/>
                <w:sz w:val="18"/>
                <w:szCs w:val="18"/>
              </w:rPr>
              <w:t>、侯德藻</w:t>
            </w:r>
            <w:r>
              <w:rPr>
                <w:color w:val="0D0D0D"/>
                <w:sz w:val="18"/>
                <w:szCs w:val="18"/>
              </w:rPr>
              <w:t>(2)</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2007.01-</w:t>
            </w:r>
          </w:p>
          <w:p>
            <w:pPr>
              <w:jc w:val="center"/>
              <w:rPr>
                <w:color w:val="0D0D0D"/>
                <w:sz w:val="18"/>
                <w:szCs w:val="18"/>
              </w:rPr>
            </w:pPr>
            <w:r>
              <w:rPr>
                <w:color w:val="0D0D0D"/>
                <w:sz w:val="18"/>
                <w:szCs w:val="18"/>
              </w:rPr>
              <w:t>2013.12</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道路交通标志和标线手册</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专著</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16</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专著合著</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侯德藻</w:t>
            </w:r>
            <w:r>
              <w:rPr>
                <w:color w:val="0D0D0D"/>
                <w:sz w:val="18"/>
                <w:szCs w:val="18"/>
              </w:rPr>
              <w:t>(1)</w:t>
            </w:r>
            <w:r>
              <w:rPr>
                <w:rFonts w:hint="eastAsia"/>
                <w:color w:val="0D0D0D"/>
                <w:sz w:val="18"/>
                <w:szCs w:val="18"/>
              </w:rPr>
              <w:t>、李爱民</w:t>
            </w:r>
            <w:r>
              <w:rPr>
                <w:color w:val="0D0D0D"/>
                <w:sz w:val="18"/>
                <w:szCs w:val="18"/>
              </w:rPr>
              <w:t>(3)</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2010.01-</w:t>
            </w:r>
          </w:p>
          <w:p>
            <w:pPr>
              <w:jc w:val="center"/>
              <w:rPr>
                <w:color w:val="0D0D0D"/>
                <w:sz w:val="18"/>
                <w:szCs w:val="18"/>
              </w:rPr>
            </w:pPr>
            <w:r>
              <w:rPr>
                <w:color w:val="0D0D0D"/>
                <w:sz w:val="18"/>
                <w:szCs w:val="18"/>
              </w:rPr>
              <w:t>2014.12</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山区高速公路安全设计指南</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专著</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17</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专著合著</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唐琤琤</w:t>
            </w:r>
            <w:r>
              <w:rPr>
                <w:color w:val="0D0D0D"/>
                <w:sz w:val="18"/>
                <w:szCs w:val="18"/>
              </w:rPr>
              <w:t>(1)</w:t>
            </w:r>
            <w:r>
              <w:rPr>
                <w:rFonts w:hint="eastAsia"/>
                <w:color w:val="0D0D0D"/>
                <w:sz w:val="18"/>
                <w:szCs w:val="18"/>
              </w:rPr>
              <w:t>、何勇</w:t>
            </w:r>
            <w:r>
              <w:rPr>
                <w:color w:val="0D0D0D"/>
                <w:sz w:val="18"/>
                <w:szCs w:val="18"/>
              </w:rPr>
              <w:t>(2)</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2005.10-</w:t>
            </w:r>
          </w:p>
          <w:p>
            <w:pPr>
              <w:jc w:val="center"/>
              <w:rPr>
                <w:color w:val="0D0D0D"/>
                <w:sz w:val="18"/>
                <w:szCs w:val="18"/>
              </w:rPr>
            </w:pPr>
            <w:r>
              <w:rPr>
                <w:color w:val="0D0D0D"/>
                <w:sz w:val="18"/>
                <w:szCs w:val="18"/>
              </w:rPr>
              <w:t>2013.12</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双车道公路交通安全设施设置技术</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专著</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18</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专著合著</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高海龙</w:t>
            </w:r>
            <w:r>
              <w:rPr>
                <w:color w:val="0D0D0D"/>
                <w:sz w:val="18"/>
                <w:szCs w:val="18"/>
              </w:rPr>
              <w:t>(1)</w:t>
            </w:r>
            <w:r>
              <w:rPr>
                <w:rFonts w:hint="eastAsia"/>
                <w:color w:val="0D0D0D"/>
                <w:sz w:val="18"/>
                <w:szCs w:val="18"/>
              </w:rPr>
              <w:t>、李长城</w:t>
            </w:r>
            <w:r>
              <w:rPr>
                <w:color w:val="0D0D0D"/>
                <w:sz w:val="18"/>
                <w:szCs w:val="18"/>
              </w:rPr>
              <w:t>(2)</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2004.12-</w:t>
            </w:r>
          </w:p>
          <w:p>
            <w:pPr>
              <w:jc w:val="center"/>
              <w:rPr>
                <w:color w:val="0D0D0D"/>
                <w:sz w:val="18"/>
                <w:szCs w:val="18"/>
              </w:rPr>
            </w:pPr>
            <w:r>
              <w:rPr>
                <w:color w:val="0D0D0D"/>
                <w:sz w:val="18"/>
                <w:szCs w:val="18"/>
              </w:rPr>
              <w:t>2013.12</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路侧安全设计指南</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专著</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19</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论文合著</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钟连德（</w:t>
            </w:r>
            <w:r>
              <w:rPr>
                <w:color w:val="0D0D0D"/>
                <w:sz w:val="18"/>
                <w:szCs w:val="18"/>
              </w:rPr>
              <w:t>1</w:t>
            </w:r>
            <w:r>
              <w:rPr>
                <w:rFonts w:hint="eastAsia"/>
                <w:color w:val="0D0D0D"/>
                <w:sz w:val="18"/>
                <w:szCs w:val="18"/>
              </w:rPr>
              <w:t>）、周荣贵（</w:t>
            </w:r>
            <w:r>
              <w:rPr>
                <w:color w:val="0D0D0D"/>
                <w:sz w:val="18"/>
                <w:szCs w:val="18"/>
              </w:rPr>
              <w:t>3</w:t>
            </w:r>
            <w:r>
              <w:rPr>
                <w:rFonts w:hint="eastAsia"/>
                <w:color w:val="0D0D0D"/>
                <w:sz w:val="18"/>
                <w:szCs w:val="18"/>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2012.12-</w:t>
            </w:r>
          </w:p>
          <w:p>
            <w:pPr>
              <w:jc w:val="center"/>
              <w:rPr>
                <w:color w:val="0D0D0D"/>
                <w:sz w:val="18"/>
                <w:szCs w:val="18"/>
              </w:rPr>
            </w:pPr>
            <w:r>
              <w:rPr>
                <w:color w:val="0D0D0D"/>
                <w:sz w:val="18"/>
                <w:szCs w:val="18"/>
              </w:rPr>
              <w:t>2014.12</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color w:val="0D0D0D"/>
                <w:sz w:val="18"/>
                <w:szCs w:val="18"/>
              </w:rPr>
              <w:t>Minimum Inside Shoulder Width of Multi-Lane Freeway  Considering the Need for Vehicle Parking</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r>
              <w:rPr>
                <w:rFonts w:hint="eastAsia"/>
                <w:color w:val="0D0D0D"/>
                <w:sz w:val="18"/>
                <w:szCs w:val="18"/>
              </w:rPr>
              <w:t>论文</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D0D0D"/>
                <w:sz w:val="18"/>
                <w:szCs w:val="18"/>
              </w:rPr>
            </w:pPr>
          </w:p>
        </w:tc>
      </w:tr>
    </w:tbl>
    <w:p>
      <w:pPr>
        <w:jc w:val="center"/>
        <w:rPr>
          <w:b/>
          <w:color w:val="000000"/>
          <w:sz w:val="24"/>
          <w:szCs w:val="24"/>
        </w:rPr>
      </w:pPr>
    </w:p>
    <w:p/>
    <w:p>
      <w:pPr>
        <w:snapToGrid w:val="0"/>
        <w:spacing w:line="360" w:lineRule="auto"/>
        <w:ind w:firstLine="480" w:firstLineChars="200"/>
        <w:rPr>
          <w:sz w:val="24"/>
          <w:szCs w:val="24"/>
        </w:rPr>
      </w:pPr>
    </w:p>
    <w:sectPr>
      <w:pgSz w:w="16838" w:h="11906" w:orient="landscape"/>
      <w:pgMar w:top="1588" w:right="1418" w:bottom="1588" w:left="1474" w:header="851" w:footer="10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1088301"/>
    </w:sdtPr>
    <w:sdtContent>
      <w:p>
        <w:pPr>
          <w:pStyle w:val="15"/>
          <w:jc w:val="center"/>
        </w:pPr>
        <w:r>
          <w:fldChar w:fldCharType="begin"/>
        </w:r>
        <w:r>
          <w:instrText xml:space="preserve">PAGE   \* MERGEFORMAT</w:instrText>
        </w:r>
        <w:r>
          <w:fldChar w:fldCharType="separate"/>
        </w:r>
        <w:r>
          <w:rPr>
            <w:lang w:val="zh-CN"/>
          </w:rPr>
          <w:t>10</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0"/>
      </w:rPr>
    </w:pPr>
    <w:r>
      <w:fldChar w:fldCharType="begin"/>
    </w:r>
    <w:r>
      <w:rPr>
        <w:rStyle w:val="20"/>
      </w:rPr>
      <w:instrText xml:space="preserve">PAGE  </w:instrText>
    </w:r>
    <w: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0637C"/>
    <w:multiLevelType w:val="multilevel"/>
    <w:tmpl w:val="5DB0637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DC"/>
    <w:rsid w:val="00006B74"/>
    <w:rsid w:val="00020A76"/>
    <w:rsid w:val="00025AFC"/>
    <w:rsid w:val="00026DF2"/>
    <w:rsid w:val="0002784C"/>
    <w:rsid w:val="0003182B"/>
    <w:rsid w:val="00031CB4"/>
    <w:rsid w:val="0004446C"/>
    <w:rsid w:val="00044C14"/>
    <w:rsid w:val="00044E07"/>
    <w:rsid w:val="000476A6"/>
    <w:rsid w:val="000575D0"/>
    <w:rsid w:val="0006713A"/>
    <w:rsid w:val="00082A67"/>
    <w:rsid w:val="000870EB"/>
    <w:rsid w:val="000A6050"/>
    <w:rsid w:val="000C7103"/>
    <w:rsid w:val="000D7DBF"/>
    <w:rsid w:val="000F26EE"/>
    <w:rsid w:val="00101FBB"/>
    <w:rsid w:val="00107E9C"/>
    <w:rsid w:val="001100AC"/>
    <w:rsid w:val="00117CCA"/>
    <w:rsid w:val="00121F40"/>
    <w:rsid w:val="0012253C"/>
    <w:rsid w:val="001240D2"/>
    <w:rsid w:val="0012494E"/>
    <w:rsid w:val="00131D5C"/>
    <w:rsid w:val="0014023F"/>
    <w:rsid w:val="001449F0"/>
    <w:rsid w:val="001477C5"/>
    <w:rsid w:val="001652C8"/>
    <w:rsid w:val="00170D2F"/>
    <w:rsid w:val="00172A27"/>
    <w:rsid w:val="001775E0"/>
    <w:rsid w:val="00181D10"/>
    <w:rsid w:val="00190FAB"/>
    <w:rsid w:val="001A2BCA"/>
    <w:rsid w:val="001D2E75"/>
    <w:rsid w:val="001D3884"/>
    <w:rsid w:val="001D6116"/>
    <w:rsid w:val="001F3C91"/>
    <w:rsid w:val="00200C7B"/>
    <w:rsid w:val="00201640"/>
    <w:rsid w:val="002030F9"/>
    <w:rsid w:val="00205686"/>
    <w:rsid w:val="00211846"/>
    <w:rsid w:val="0022243D"/>
    <w:rsid w:val="0025704A"/>
    <w:rsid w:val="002674AC"/>
    <w:rsid w:val="002927E6"/>
    <w:rsid w:val="00297033"/>
    <w:rsid w:val="002A42B1"/>
    <w:rsid w:val="002D5980"/>
    <w:rsid w:val="003305AD"/>
    <w:rsid w:val="00345081"/>
    <w:rsid w:val="003544EE"/>
    <w:rsid w:val="00354CC2"/>
    <w:rsid w:val="003612CB"/>
    <w:rsid w:val="0036146E"/>
    <w:rsid w:val="0036723E"/>
    <w:rsid w:val="00367F6B"/>
    <w:rsid w:val="00382A03"/>
    <w:rsid w:val="003D7735"/>
    <w:rsid w:val="003F50E8"/>
    <w:rsid w:val="003F6E6B"/>
    <w:rsid w:val="00410F33"/>
    <w:rsid w:val="00411CA2"/>
    <w:rsid w:val="0044482D"/>
    <w:rsid w:val="004555C4"/>
    <w:rsid w:val="00463D3A"/>
    <w:rsid w:val="00464021"/>
    <w:rsid w:val="00486161"/>
    <w:rsid w:val="004924EB"/>
    <w:rsid w:val="004A068E"/>
    <w:rsid w:val="004A19FA"/>
    <w:rsid w:val="004B125F"/>
    <w:rsid w:val="004B21F9"/>
    <w:rsid w:val="004B51E1"/>
    <w:rsid w:val="004B645D"/>
    <w:rsid w:val="004D53A6"/>
    <w:rsid w:val="004E237B"/>
    <w:rsid w:val="004E70EC"/>
    <w:rsid w:val="004E7B41"/>
    <w:rsid w:val="004F049F"/>
    <w:rsid w:val="004F1F26"/>
    <w:rsid w:val="004F5434"/>
    <w:rsid w:val="00500E32"/>
    <w:rsid w:val="00502A90"/>
    <w:rsid w:val="00506705"/>
    <w:rsid w:val="005077CC"/>
    <w:rsid w:val="0051439B"/>
    <w:rsid w:val="0051454B"/>
    <w:rsid w:val="00521FB7"/>
    <w:rsid w:val="00522BB6"/>
    <w:rsid w:val="00522FD9"/>
    <w:rsid w:val="00527D18"/>
    <w:rsid w:val="0053299E"/>
    <w:rsid w:val="005400F2"/>
    <w:rsid w:val="005434CB"/>
    <w:rsid w:val="00557A4B"/>
    <w:rsid w:val="0056718F"/>
    <w:rsid w:val="00573113"/>
    <w:rsid w:val="00586D90"/>
    <w:rsid w:val="00587753"/>
    <w:rsid w:val="00590828"/>
    <w:rsid w:val="0059278C"/>
    <w:rsid w:val="005948EE"/>
    <w:rsid w:val="005A4526"/>
    <w:rsid w:val="005A4684"/>
    <w:rsid w:val="005B6C1F"/>
    <w:rsid w:val="005C0F46"/>
    <w:rsid w:val="005E4180"/>
    <w:rsid w:val="005F07DB"/>
    <w:rsid w:val="00603F97"/>
    <w:rsid w:val="00611D67"/>
    <w:rsid w:val="0061760F"/>
    <w:rsid w:val="006220D3"/>
    <w:rsid w:val="00624B21"/>
    <w:rsid w:val="00624E65"/>
    <w:rsid w:val="00627F45"/>
    <w:rsid w:val="0064123F"/>
    <w:rsid w:val="00643C64"/>
    <w:rsid w:val="006563DA"/>
    <w:rsid w:val="0066226E"/>
    <w:rsid w:val="00666646"/>
    <w:rsid w:val="00675CB0"/>
    <w:rsid w:val="006818CF"/>
    <w:rsid w:val="00687099"/>
    <w:rsid w:val="006A68AC"/>
    <w:rsid w:val="006B2511"/>
    <w:rsid w:val="006B5865"/>
    <w:rsid w:val="006C0604"/>
    <w:rsid w:val="006C2F7D"/>
    <w:rsid w:val="006E0DCE"/>
    <w:rsid w:val="006E25D7"/>
    <w:rsid w:val="006E349A"/>
    <w:rsid w:val="006E63C2"/>
    <w:rsid w:val="00707391"/>
    <w:rsid w:val="00710F1F"/>
    <w:rsid w:val="007135D7"/>
    <w:rsid w:val="007172BB"/>
    <w:rsid w:val="00721970"/>
    <w:rsid w:val="007228F7"/>
    <w:rsid w:val="00751223"/>
    <w:rsid w:val="00755527"/>
    <w:rsid w:val="0075624A"/>
    <w:rsid w:val="00757E75"/>
    <w:rsid w:val="0076163F"/>
    <w:rsid w:val="00785BB7"/>
    <w:rsid w:val="00785D68"/>
    <w:rsid w:val="007A4371"/>
    <w:rsid w:val="007B4281"/>
    <w:rsid w:val="007B6B9E"/>
    <w:rsid w:val="007C1620"/>
    <w:rsid w:val="007D2A24"/>
    <w:rsid w:val="007D794F"/>
    <w:rsid w:val="007F41EA"/>
    <w:rsid w:val="00803F82"/>
    <w:rsid w:val="00804929"/>
    <w:rsid w:val="00815DB3"/>
    <w:rsid w:val="00827B79"/>
    <w:rsid w:val="008408C4"/>
    <w:rsid w:val="0085099C"/>
    <w:rsid w:val="00851A91"/>
    <w:rsid w:val="00857407"/>
    <w:rsid w:val="00880143"/>
    <w:rsid w:val="00884381"/>
    <w:rsid w:val="00885770"/>
    <w:rsid w:val="008949C5"/>
    <w:rsid w:val="008962C1"/>
    <w:rsid w:val="008A5349"/>
    <w:rsid w:val="008A63F8"/>
    <w:rsid w:val="008D2281"/>
    <w:rsid w:val="008F5C6A"/>
    <w:rsid w:val="008F724E"/>
    <w:rsid w:val="00903F10"/>
    <w:rsid w:val="009246B4"/>
    <w:rsid w:val="00930FA0"/>
    <w:rsid w:val="0094505F"/>
    <w:rsid w:val="009614AF"/>
    <w:rsid w:val="009736D8"/>
    <w:rsid w:val="00974173"/>
    <w:rsid w:val="0097765C"/>
    <w:rsid w:val="009812CA"/>
    <w:rsid w:val="009939A1"/>
    <w:rsid w:val="00996942"/>
    <w:rsid w:val="009A60EF"/>
    <w:rsid w:val="009A77C7"/>
    <w:rsid w:val="009C2FAD"/>
    <w:rsid w:val="009F556F"/>
    <w:rsid w:val="00A11EC6"/>
    <w:rsid w:val="00A15C6F"/>
    <w:rsid w:val="00A20BB9"/>
    <w:rsid w:val="00A26C72"/>
    <w:rsid w:val="00A522AB"/>
    <w:rsid w:val="00A55D49"/>
    <w:rsid w:val="00A57A82"/>
    <w:rsid w:val="00A63297"/>
    <w:rsid w:val="00A77365"/>
    <w:rsid w:val="00AA64A7"/>
    <w:rsid w:val="00AB239B"/>
    <w:rsid w:val="00AB47E0"/>
    <w:rsid w:val="00AB5FA7"/>
    <w:rsid w:val="00AC0B2B"/>
    <w:rsid w:val="00AD6884"/>
    <w:rsid w:val="00B047E1"/>
    <w:rsid w:val="00B152EC"/>
    <w:rsid w:val="00B263B8"/>
    <w:rsid w:val="00B52D62"/>
    <w:rsid w:val="00B57A5F"/>
    <w:rsid w:val="00B60206"/>
    <w:rsid w:val="00B675BE"/>
    <w:rsid w:val="00B80AB6"/>
    <w:rsid w:val="00B87272"/>
    <w:rsid w:val="00BB6858"/>
    <w:rsid w:val="00BB6B21"/>
    <w:rsid w:val="00BC49C9"/>
    <w:rsid w:val="00BC6806"/>
    <w:rsid w:val="00BD1854"/>
    <w:rsid w:val="00BE724D"/>
    <w:rsid w:val="00BF64A6"/>
    <w:rsid w:val="00C057E3"/>
    <w:rsid w:val="00C1014E"/>
    <w:rsid w:val="00C1071A"/>
    <w:rsid w:val="00C25D3E"/>
    <w:rsid w:val="00C370C3"/>
    <w:rsid w:val="00C37619"/>
    <w:rsid w:val="00C4214D"/>
    <w:rsid w:val="00C45DEB"/>
    <w:rsid w:val="00C45F36"/>
    <w:rsid w:val="00C4762D"/>
    <w:rsid w:val="00C523C6"/>
    <w:rsid w:val="00C64745"/>
    <w:rsid w:val="00C768BB"/>
    <w:rsid w:val="00C77AD6"/>
    <w:rsid w:val="00C81645"/>
    <w:rsid w:val="00C91B89"/>
    <w:rsid w:val="00C95756"/>
    <w:rsid w:val="00C97F3B"/>
    <w:rsid w:val="00CB4E31"/>
    <w:rsid w:val="00CC2743"/>
    <w:rsid w:val="00CC414B"/>
    <w:rsid w:val="00CE4590"/>
    <w:rsid w:val="00D11059"/>
    <w:rsid w:val="00D1779F"/>
    <w:rsid w:val="00D41254"/>
    <w:rsid w:val="00D45725"/>
    <w:rsid w:val="00D57052"/>
    <w:rsid w:val="00D60814"/>
    <w:rsid w:val="00D625CE"/>
    <w:rsid w:val="00D8691D"/>
    <w:rsid w:val="00D91B95"/>
    <w:rsid w:val="00DA2232"/>
    <w:rsid w:val="00DB3AE3"/>
    <w:rsid w:val="00DC0B8E"/>
    <w:rsid w:val="00DC1E89"/>
    <w:rsid w:val="00DC23A8"/>
    <w:rsid w:val="00DD5560"/>
    <w:rsid w:val="00DF1192"/>
    <w:rsid w:val="00E00407"/>
    <w:rsid w:val="00E06CC9"/>
    <w:rsid w:val="00E125C8"/>
    <w:rsid w:val="00E16ABA"/>
    <w:rsid w:val="00E217F5"/>
    <w:rsid w:val="00E360C3"/>
    <w:rsid w:val="00E3628F"/>
    <w:rsid w:val="00E37F8F"/>
    <w:rsid w:val="00E4480D"/>
    <w:rsid w:val="00E540FB"/>
    <w:rsid w:val="00E56713"/>
    <w:rsid w:val="00E571AA"/>
    <w:rsid w:val="00E57BA6"/>
    <w:rsid w:val="00E609F9"/>
    <w:rsid w:val="00E60B54"/>
    <w:rsid w:val="00E61EBD"/>
    <w:rsid w:val="00E62AC2"/>
    <w:rsid w:val="00E7027D"/>
    <w:rsid w:val="00E74A6E"/>
    <w:rsid w:val="00E75B30"/>
    <w:rsid w:val="00E80021"/>
    <w:rsid w:val="00E912C7"/>
    <w:rsid w:val="00EA43E0"/>
    <w:rsid w:val="00EB39D2"/>
    <w:rsid w:val="00EB415D"/>
    <w:rsid w:val="00EB5727"/>
    <w:rsid w:val="00EC0997"/>
    <w:rsid w:val="00EC4B75"/>
    <w:rsid w:val="00EC5770"/>
    <w:rsid w:val="00EE3B00"/>
    <w:rsid w:val="00EE6D99"/>
    <w:rsid w:val="00EF2E98"/>
    <w:rsid w:val="00EF5C60"/>
    <w:rsid w:val="00EF5CA1"/>
    <w:rsid w:val="00F045A1"/>
    <w:rsid w:val="00F2562E"/>
    <w:rsid w:val="00F2781F"/>
    <w:rsid w:val="00F429FA"/>
    <w:rsid w:val="00F45AA7"/>
    <w:rsid w:val="00F5042B"/>
    <w:rsid w:val="00F626D7"/>
    <w:rsid w:val="00F76039"/>
    <w:rsid w:val="00F80617"/>
    <w:rsid w:val="00F81033"/>
    <w:rsid w:val="00FA2A15"/>
    <w:rsid w:val="00FB2F97"/>
    <w:rsid w:val="00FB57D9"/>
    <w:rsid w:val="00FC1FCD"/>
    <w:rsid w:val="00FE2574"/>
    <w:rsid w:val="00FF4E50"/>
    <w:rsid w:val="00FF51B3"/>
    <w:rsid w:val="00FF6781"/>
    <w:rsid w:val="22237B0A"/>
    <w:rsid w:val="380D482D"/>
    <w:rsid w:val="38C83167"/>
    <w:rsid w:val="54F451A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qFormat="1"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0" w:name="Body Text Indent 2"/>
    <w:lsdException w:qFormat="1" w:uiPriority="0" w:semiHidden="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unhideWhenUsed="0" w:uiPriority="0" w:semiHidden="0"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spacing w:beforeLines="100"/>
      <w:jc w:val="center"/>
      <w:outlineLvl w:val="0"/>
    </w:pPr>
    <w:rPr>
      <w:rFonts w:eastAsia="黑体"/>
      <w:b/>
      <w:sz w:val="44"/>
    </w:rPr>
  </w:style>
  <w:style w:type="paragraph" w:styleId="3">
    <w:name w:val="heading 2"/>
    <w:basedOn w:val="1"/>
    <w:next w:val="1"/>
    <w:link w:val="32"/>
    <w:unhideWhenUsed/>
    <w:qFormat/>
    <w:uiPriority w:val="0"/>
    <w:pPr>
      <w:keepNext/>
      <w:keepLines/>
      <w:spacing w:before="260" w:after="260" w:line="415" w:lineRule="auto"/>
      <w:jc w:val="left"/>
      <w:outlineLvl w:val="1"/>
    </w:pPr>
    <w:rPr>
      <w:rFonts w:ascii="仿宋_GB2312" w:hAnsi="宋体" w:eastAsia="仿宋_GB2312" w:cs="宋体"/>
      <w:b/>
      <w:bCs/>
      <w:sz w:val="30"/>
      <w:szCs w:val="30"/>
    </w:rPr>
  </w:style>
  <w:style w:type="paragraph" w:styleId="4">
    <w:name w:val="heading 3"/>
    <w:basedOn w:val="1"/>
    <w:next w:val="1"/>
    <w:link w:val="33"/>
    <w:unhideWhenUsed/>
    <w:qFormat/>
    <w:uiPriority w:val="0"/>
    <w:pPr>
      <w:keepNext/>
      <w:keepLines/>
      <w:spacing w:before="260" w:after="260" w:line="412" w:lineRule="auto"/>
      <w:ind w:left="100" w:leftChars="100" w:right="210" w:rightChars="100"/>
      <w:jc w:val="left"/>
      <w:outlineLvl w:val="2"/>
    </w:pPr>
    <w:rPr>
      <w:rFonts w:eastAsia="仿宋_GB2312"/>
      <w:b/>
      <w:sz w:val="30"/>
    </w:rPr>
  </w:style>
  <w:style w:type="paragraph" w:styleId="5">
    <w:name w:val="heading 4"/>
    <w:basedOn w:val="1"/>
    <w:next w:val="1"/>
    <w:link w:val="34"/>
    <w:unhideWhenUsed/>
    <w:qFormat/>
    <w:uiPriority w:val="0"/>
    <w:pPr>
      <w:keepNext/>
      <w:keepLines/>
      <w:spacing w:line="360" w:lineRule="auto"/>
      <w:ind w:left="1260" w:leftChars="600" w:right="1260" w:rightChars="600"/>
      <w:jc w:val="center"/>
      <w:outlineLvl w:val="3"/>
    </w:pPr>
    <w:rPr>
      <w:rFonts w:ascii="Cambria" w:hAnsi="Cambria" w:cs="宋体"/>
      <w:bCs/>
      <w:sz w:val="28"/>
      <w:szCs w:val="28"/>
    </w:rPr>
  </w:style>
  <w:style w:type="character" w:default="1" w:styleId="19">
    <w:name w:val="Default Paragraph Font"/>
    <w:unhideWhenUsed/>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2"/>
    <w:unhideWhenUsed/>
    <w:uiPriority w:val="99"/>
    <w:rPr>
      <w:b/>
      <w:bCs/>
    </w:rPr>
  </w:style>
  <w:style w:type="paragraph" w:styleId="7">
    <w:name w:val="annotation text"/>
    <w:basedOn w:val="1"/>
    <w:link w:val="35"/>
    <w:unhideWhenUsed/>
    <w:qFormat/>
    <w:uiPriority w:val="99"/>
    <w:pPr>
      <w:jc w:val="left"/>
    </w:pPr>
  </w:style>
  <w:style w:type="paragraph" w:styleId="8">
    <w:name w:val="Document Map"/>
    <w:basedOn w:val="1"/>
    <w:link w:val="41"/>
    <w:unhideWhenUsed/>
    <w:qFormat/>
    <w:uiPriority w:val="0"/>
    <w:pPr>
      <w:shd w:val="clear" w:color="auto" w:fill="000080"/>
    </w:pPr>
  </w:style>
  <w:style w:type="paragraph" w:styleId="9">
    <w:name w:val="Body Text"/>
    <w:basedOn w:val="1"/>
    <w:link w:val="37"/>
    <w:unhideWhenUsed/>
    <w:qFormat/>
    <w:uiPriority w:val="0"/>
    <w:pPr>
      <w:spacing w:after="120"/>
    </w:pPr>
  </w:style>
  <w:style w:type="paragraph" w:styleId="10">
    <w:name w:val="Body Text Indent"/>
    <w:basedOn w:val="1"/>
    <w:link w:val="29"/>
    <w:uiPriority w:val="0"/>
    <w:pPr>
      <w:ind w:firstLine="660"/>
    </w:pPr>
    <w:rPr>
      <w:rFonts w:eastAsia="仿宋_GB2312"/>
      <w:sz w:val="32"/>
    </w:rPr>
  </w:style>
  <w:style w:type="paragraph" w:styleId="11">
    <w:name w:val="Plain Text"/>
    <w:basedOn w:val="1"/>
    <w:link w:val="28"/>
    <w:uiPriority w:val="0"/>
    <w:pPr>
      <w:spacing w:line="360" w:lineRule="auto"/>
      <w:ind w:firstLine="480" w:firstLineChars="200"/>
    </w:pPr>
    <w:rPr>
      <w:rFonts w:ascii="仿宋_GB2312"/>
      <w:sz w:val="24"/>
    </w:rPr>
  </w:style>
  <w:style w:type="paragraph" w:styleId="12">
    <w:name w:val="Date"/>
    <w:basedOn w:val="1"/>
    <w:next w:val="1"/>
    <w:link w:val="38"/>
    <w:unhideWhenUsed/>
    <w:qFormat/>
    <w:uiPriority w:val="0"/>
    <w:pPr>
      <w:ind w:left="100" w:leftChars="2500"/>
    </w:pPr>
    <w:rPr>
      <w:b/>
      <w:sz w:val="32"/>
    </w:rPr>
  </w:style>
  <w:style w:type="paragraph" w:styleId="13">
    <w:name w:val="Body Text Indent 2"/>
    <w:basedOn w:val="1"/>
    <w:link w:val="39"/>
    <w:unhideWhenUsed/>
    <w:uiPriority w:val="0"/>
    <w:pPr>
      <w:spacing w:after="120" w:line="480" w:lineRule="auto"/>
      <w:ind w:left="420" w:leftChars="200"/>
    </w:pPr>
  </w:style>
  <w:style w:type="paragraph" w:styleId="14">
    <w:name w:val="Balloon Text"/>
    <w:basedOn w:val="1"/>
    <w:link w:val="30"/>
    <w:unhideWhenUsed/>
    <w:uiPriority w:val="0"/>
    <w:rPr>
      <w:sz w:val="18"/>
      <w:szCs w:val="18"/>
    </w:rPr>
  </w:style>
  <w:style w:type="paragraph" w:styleId="15">
    <w:name w:val="footer"/>
    <w:basedOn w:val="1"/>
    <w:link w:val="26"/>
    <w:uiPriority w:val="99"/>
    <w:pPr>
      <w:tabs>
        <w:tab w:val="center" w:pos="4153"/>
        <w:tab w:val="right" w:pos="8306"/>
      </w:tabs>
      <w:snapToGrid w:val="0"/>
      <w:jc w:val="left"/>
    </w:pPr>
    <w:rPr>
      <w:sz w:val="18"/>
    </w:rPr>
  </w:style>
  <w:style w:type="paragraph" w:styleId="16">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Body Text Indent 3"/>
    <w:basedOn w:val="1"/>
    <w:link w:val="40"/>
    <w:unhideWhenUsed/>
    <w:qFormat/>
    <w:uiPriority w:val="0"/>
    <w:pPr>
      <w:ind w:firstLine="420" w:firstLineChars="200"/>
    </w:pPr>
  </w:style>
  <w:style w:type="paragraph" w:styleId="18">
    <w:name w:val="Title"/>
    <w:basedOn w:val="1"/>
    <w:next w:val="1"/>
    <w:link w:val="36"/>
    <w:qFormat/>
    <w:uiPriority w:val="0"/>
    <w:pPr>
      <w:spacing w:before="240" w:after="60"/>
      <w:jc w:val="center"/>
      <w:outlineLvl w:val="0"/>
    </w:pPr>
    <w:rPr>
      <w:rFonts w:ascii="Cambria" w:hAnsi="Cambria" w:eastAsia="黑体"/>
      <w:b/>
      <w:bCs/>
      <w:sz w:val="52"/>
      <w:szCs w:val="32"/>
    </w:rPr>
  </w:style>
  <w:style w:type="character" w:styleId="20">
    <w:name w:val="page number"/>
    <w:basedOn w:val="19"/>
    <w:semiHidden/>
    <w:uiPriority w:val="0"/>
  </w:style>
  <w:style w:type="character" w:styleId="21">
    <w:name w:val="Hyperlink"/>
    <w:uiPriority w:val="0"/>
    <w:rPr>
      <w:color w:val="0000FF"/>
      <w:u w:val="single"/>
    </w:rPr>
  </w:style>
  <w:style w:type="character" w:styleId="22">
    <w:name w:val="annotation reference"/>
    <w:basedOn w:val="19"/>
    <w:unhideWhenUsed/>
    <w:qFormat/>
    <w:uiPriority w:val="99"/>
    <w:rPr>
      <w:sz w:val="21"/>
      <w:szCs w:val="21"/>
    </w:rPr>
  </w:style>
  <w:style w:type="table" w:styleId="24">
    <w:name w:val="Table Grid"/>
    <w:basedOn w:val="2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5">
    <w:name w:val="页眉 Char"/>
    <w:basedOn w:val="19"/>
    <w:link w:val="16"/>
    <w:qFormat/>
    <w:uiPriority w:val="99"/>
    <w:rPr>
      <w:kern w:val="2"/>
      <w:sz w:val="18"/>
    </w:rPr>
  </w:style>
  <w:style w:type="character" w:customStyle="1" w:styleId="26">
    <w:name w:val="页脚 Char"/>
    <w:link w:val="15"/>
    <w:uiPriority w:val="99"/>
    <w:rPr>
      <w:kern w:val="2"/>
      <w:sz w:val="18"/>
    </w:rPr>
  </w:style>
  <w:style w:type="paragraph" w:customStyle="1" w:styleId="27">
    <w:name w:val="_Style 8"/>
    <w:basedOn w:val="1"/>
    <w:next w:val="1"/>
    <w:uiPriority w:val="0"/>
    <w:pPr>
      <w:spacing w:line="360" w:lineRule="auto"/>
      <w:ind w:firstLine="480" w:firstLineChars="200"/>
    </w:pPr>
    <w:rPr>
      <w:rFonts w:ascii="仿宋_GB2312"/>
      <w:sz w:val="24"/>
    </w:rPr>
  </w:style>
  <w:style w:type="character" w:customStyle="1" w:styleId="28">
    <w:name w:val="纯文本 Char"/>
    <w:link w:val="11"/>
    <w:uiPriority w:val="0"/>
    <w:rPr>
      <w:rFonts w:ascii="仿宋_GB2312"/>
      <w:kern w:val="2"/>
      <w:sz w:val="24"/>
    </w:rPr>
  </w:style>
  <w:style w:type="character" w:customStyle="1" w:styleId="29">
    <w:name w:val="正文文本缩进 Char"/>
    <w:link w:val="10"/>
    <w:uiPriority w:val="0"/>
    <w:rPr>
      <w:rFonts w:eastAsia="仿宋_GB2312"/>
      <w:kern w:val="2"/>
      <w:sz w:val="32"/>
    </w:rPr>
  </w:style>
  <w:style w:type="character" w:customStyle="1" w:styleId="30">
    <w:name w:val="批注框文本 Char"/>
    <w:basedOn w:val="19"/>
    <w:link w:val="14"/>
    <w:semiHidden/>
    <w:uiPriority w:val="0"/>
    <w:rPr>
      <w:kern w:val="2"/>
      <w:sz w:val="18"/>
      <w:szCs w:val="18"/>
    </w:rPr>
  </w:style>
  <w:style w:type="character" w:customStyle="1" w:styleId="31">
    <w:name w:val="标题 1 Char"/>
    <w:basedOn w:val="19"/>
    <w:link w:val="2"/>
    <w:uiPriority w:val="0"/>
    <w:rPr>
      <w:rFonts w:eastAsia="黑体"/>
      <w:b/>
      <w:kern w:val="2"/>
      <w:sz w:val="44"/>
    </w:rPr>
  </w:style>
  <w:style w:type="character" w:customStyle="1" w:styleId="32">
    <w:name w:val="标题 2 Char"/>
    <w:basedOn w:val="19"/>
    <w:link w:val="3"/>
    <w:semiHidden/>
    <w:qFormat/>
    <w:uiPriority w:val="0"/>
    <w:rPr>
      <w:rFonts w:ascii="仿宋_GB2312" w:hAnsi="宋体" w:eastAsia="仿宋_GB2312" w:cs="宋体"/>
      <w:b/>
      <w:bCs/>
      <w:kern w:val="2"/>
      <w:sz w:val="30"/>
      <w:szCs w:val="30"/>
    </w:rPr>
  </w:style>
  <w:style w:type="character" w:customStyle="1" w:styleId="33">
    <w:name w:val="标题 3 Char"/>
    <w:basedOn w:val="19"/>
    <w:link w:val="4"/>
    <w:semiHidden/>
    <w:qFormat/>
    <w:uiPriority w:val="0"/>
    <w:rPr>
      <w:rFonts w:eastAsia="仿宋_GB2312"/>
      <w:b/>
      <w:kern w:val="2"/>
      <w:sz w:val="30"/>
    </w:rPr>
  </w:style>
  <w:style w:type="character" w:customStyle="1" w:styleId="34">
    <w:name w:val="标题 4 Char"/>
    <w:basedOn w:val="19"/>
    <w:link w:val="5"/>
    <w:semiHidden/>
    <w:qFormat/>
    <w:uiPriority w:val="0"/>
    <w:rPr>
      <w:rFonts w:ascii="Cambria" w:hAnsi="Cambria" w:cs="宋体"/>
      <w:bCs/>
      <w:kern w:val="2"/>
      <w:sz w:val="28"/>
      <w:szCs w:val="28"/>
    </w:rPr>
  </w:style>
  <w:style w:type="character" w:customStyle="1" w:styleId="35">
    <w:name w:val="批注文字 Char"/>
    <w:basedOn w:val="19"/>
    <w:link w:val="7"/>
    <w:semiHidden/>
    <w:qFormat/>
    <w:uiPriority w:val="99"/>
    <w:rPr>
      <w:kern w:val="2"/>
      <w:sz w:val="21"/>
    </w:rPr>
  </w:style>
  <w:style w:type="character" w:customStyle="1" w:styleId="36">
    <w:name w:val="标题 Char"/>
    <w:basedOn w:val="19"/>
    <w:link w:val="18"/>
    <w:qFormat/>
    <w:uiPriority w:val="0"/>
    <w:rPr>
      <w:rFonts w:ascii="Cambria" w:hAnsi="Cambria" w:eastAsia="黑体"/>
      <w:b/>
      <w:bCs/>
      <w:kern w:val="2"/>
      <w:sz w:val="52"/>
      <w:szCs w:val="32"/>
    </w:rPr>
  </w:style>
  <w:style w:type="character" w:customStyle="1" w:styleId="37">
    <w:name w:val="正文文本 Char"/>
    <w:basedOn w:val="19"/>
    <w:link w:val="9"/>
    <w:semiHidden/>
    <w:uiPriority w:val="0"/>
    <w:rPr>
      <w:kern w:val="2"/>
      <w:sz w:val="21"/>
    </w:rPr>
  </w:style>
  <w:style w:type="character" w:customStyle="1" w:styleId="38">
    <w:name w:val="日期 Char"/>
    <w:basedOn w:val="19"/>
    <w:link w:val="12"/>
    <w:semiHidden/>
    <w:uiPriority w:val="0"/>
    <w:rPr>
      <w:b/>
      <w:kern w:val="2"/>
      <w:sz w:val="32"/>
    </w:rPr>
  </w:style>
  <w:style w:type="character" w:customStyle="1" w:styleId="39">
    <w:name w:val="正文文本缩进 2 Char"/>
    <w:basedOn w:val="19"/>
    <w:link w:val="13"/>
    <w:semiHidden/>
    <w:qFormat/>
    <w:uiPriority w:val="0"/>
    <w:rPr>
      <w:kern w:val="2"/>
      <w:sz w:val="21"/>
    </w:rPr>
  </w:style>
  <w:style w:type="character" w:customStyle="1" w:styleId="40">
    <w:name w:val="正文文本缩进 3 Char"/>
    <w:basedOn w:val="19"/>
    <w:link w:val="17"/>
    <w:qFormat/>
    <w:uiPriority w:val="0"/>
    <w:rPr>
      <w:kern w:val="2"/>
      <w:sz w:val="21"/>
    </w:rPr>
  </w:style>
  <w:style w:type="character" w:customStyle="1" w:styleId="41">
    <w:name w:val="文档结构图 Char"/>
    <w:basedOn w:val="19"/>
    <w:link w:val="8"/>
    <w:semiHidden/>
    <w:qFormat/>
    <w:uiPriority w:val="0"/>
    <w:rPr>
      <w:kern w:val="2"/>
      <w:sz w:val="21"/>
      <w:shd w:val="clear" w:color="auto" w:fill="000080"/>
    </w:rPr>
  </w:style>
  <w:style w:type="character" w:customStyle="1" w:styleId="42">
    <w:name w:val="批注主题 Char"/>
    <w:basedOn w:val="35"/>
    <w:link w:val="6"/>
    <w:semiHidden/>
    <w:qFormat/>
    <w:uiPriority w:val="99"/>
    <w:rPr>
      <w:b/>
      <w:bCs/>
      <w:kern w:val="2"/>
      <w:sz w:val="21"/>
    </w:rPr>
  </w:style>
  <w:style w:type="paragraph" w:customStyle="1" w:styleId="43">
    <w:name w:val="List Paragraph"/>
    <w:basedOn w:val="1"/>
    <w:qFormat/>
    <w:uiPriority w:val="34"/>
    <w:pPr>
      <w:ind w:firstLine="420" w:firstLineChars="200"/>
    </w:pPr>
  </w:style>
  <w:style w:type="paragraph" w:customStyle="1" w:styleId="44">
    <w:name w:val="纯文本1"/>
    <w:basedOn w:val="1"/>
    <w:qFormat/>
    <w:uiPriority w:val="0"/>
    <w:pPr>
      <w:spacing w:line="360" w:lineRule="auto"/>
      <w:ind w:firstLine="480" w:firstLineChars="200"/>
    </w:pPr>
    <w:rPr>
      <w:rFonts w:ascii="仿宋_GB2312"/>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4FB1D-E635-44AF-AE09-7690EC2B5D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1673</Words>
  <Characters>9542</Characters>
  <Lines>79</Lines>
  <Paragraphs>22</Paragraphs>
  <TotalTime>0</TotalTime>
  <ScaleCrop>false</ScaleCrop>
  <LinksUpToDate>false</LinksUpToDate>
  <CharactersWithSpaces>11193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2016-12-30T02:48:00Z</dcterms:created>
  <dc:creator>moc</dc:creator>
  <cp:lastModifiedBy>sunpeipei</cp:lastModifiedBy>
  <cp:lastPrinted>2016-12-22T11:27:00Z</cp:lastPrinted>
  <dcterms:modified xsi:type="dcterms:W3CDTF">2016-12-30T08:48:36Z</dcterms:modified>
  <dc:title>关于做好2016年度国家科学技术奖励推荐工作的通知</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